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59F9B">
      <w:pPr>
        <w:jc w:val="center"/>
        <w:rPr>
          <w:rFonts w:ascii="黑体" w:hAnsi="黑体" w:eastAsia="黑体"/>
          <w:sz w:val="32"/>
          <w:szCs w:val="32"/>
        </w:rPr>
      </w:pPr>
    </w:p>
    <w:p w14:paraId="7FA6F7F3">
      <w:pPr>
        <w:jc w:val="center"/>
        <w:rPr>
          <w:rFonts w:ascii="黑体" w:hAnsi="黑体" w:eastAsia="黑体"/>
          <w:sz w:val="32"/>
          <w:szCs w:val="32"/>
        </w:rPr>
      </w:pPr>
    </w:p>
    <w:p w14:paraId="21A6DDAE">
      <w:pPr>
        <w:jc w:val="center"/>
        <w:rPr>
          <w:rFonts w:ascii="黑体" w:hAnsi="黑体" w:eastAsia="黑体"/>
          <w:sz w:val="32"/>
          <w:szCs w:val="32"/>
        </w:rPr>
      </w:pPr>
    </w:p>
    <w:p w14:paraId="6A170B1B">
      <w:pPr>
        <w:jc w:val="center"/>
        <w:rPr>
          <w:rFonts w:ascii="黑体" w:hAnsi="黑体" w:eastAsia="黑体"/>
          <w:sz w:val="44"/>
          <w:szCs w:val="44"/>
        </w:rPr>
      </w:pPr>
      <w:r>
        <w:rPr>
          <w:rFonts w:hint="eastAsia" w:ascii="黑体" w:hAnsi="黑体" w:eastAsia="黑体"/>
          <w:sz w:val="44"/>
          <w:szCs w:val="44"/>
        </w:rPr>
        <w:t>三门峡市住房公积金</w:t>
      </w:r>
      <w:bookmarkStart w:id="0" w:name="_GoBack"/>
      <w:bookmarkEnd w:id="0"/>
      <w:r>
        <w:rPr>
          <w:rFonts w:hint="eastAsia" w:ascii="黑体" w:hAnsi="黑体" w:eastAsia="黑体"/>
          <w:sz w:val="44"/>
          <w:szCs w:val="44"/>
        </w:rPr>
        <w:t>管理中心</w:t>
      </w:r>
    </w:p>
    <w:p w14:paraId="0EB0A6E7">
      <w:pPr>
        <w:jc w:val="center"/>
        <w:rPr>
          <w:rFonts w:ascii="黑体" w:hAnsi="黑体" w:eastAsia="黑体"/>
          <w:sz w:val="44"/>
          <w:szCs w:val="44"/>
        </w:rPr>
      </w:pPr>
      <w:r>
        <w:rPr>
          <w:rFonts w:hint="eastAsia" w:ascii="黑体" w:hAnsi="黑体" w:eastAsia="黑体"/>
          <w:sz w:val="44"/>
          <w:szCs w:val="44"/>
        </w:rPr>
        <w:t>数字化发展规划方案</w:t>
      </w:r>
    </w:p>
    <w:p w14:paraId="52B68E30">
      <w:pPr>
        <w:rPr>
          <w:rFonts w:ascii="仿宋" w:hAnsi="仿宋" w:eastAsia="仿宋"/>
          <w:sz w:val="32"/>
          <w:szCs w:val="32"/>
        </w:rPr>
      </w:pPr>
    </w:p>
    <w:p w14:paraId="4ABC9795">
      <w:pPr>
        <w:rPr>
          <w:rFonts w:ascii="仿宋" w:hAnsi="仿宋" w:eastAsia="仿宋"/>
          <w:sz w:val="32"/>
          <w:szCs w:val="32"/>
        </w:rPr>
      </w:pPr>
    </w:p>
    <w:p w14:paraId="59771DAE">
      <w:pPr>
        <w:rPr>
          <w:rFonts w:ascii="仿宋" w:hAnsi="仿宋" w:eastAsia="仿宋"/>
          <w:sz w:val="32"/>
          <w:szCs w:val="32"/>
        </w:rPr>
      </w:pPr>
    </w:p>
    <w:p w14:paraId="558AD08D">
      <w:pPr>
        <w:rPr>
          <w:rFonts w:ascii="仿宋" w:hAnsi="仿宋" w:eastAsia="仿宋"/>
          <w:sz w:val="32"/>
          <w:szCs w:val="32"/>
        </w:rPr>
      </w:pPr>
    </w:p>
    <w:p w14:paraId="0816A24C">
      <w:pPr>
        <w:rPr>
          <w:rFonts w:ascii="仿宋" w:hAnsi="仿宋" w:eastAsia="仿宋"/>
          <w:sz w:val="32"/>
          <w:szCs w:val="32"/>
        </w:rPr>
      </w:pPr>
    </w:p>
    <w:p w14:paraId="2CC9CD9F">
      <w:pPr>
        <w:rPr>
          <w:rFonts w:ascii="仿宋" w:hAnsi="仿宋" w:eastAsia="仿宋"/>
          <w:sz w:val="32"/>
          <w:szCs w:val="32"/>
        </w:rPr>
      </w:pPr>
    </w:p>
    <w:p w14:paraId="34A631D8">
      <w:pPr>
        <w:rPr>
          <w:rFonts w:ascii="仿宋" w:hAnsi="仿宋" w:eastAsia="仿宋"/>
          <w:sz w:val="32"/>
          <w:szCs w:val="32"/>
        </w:rPr>
      </w:pPr>
    </w:p>
    <w:p w14:paraId="5ADC52FE">
      <w:pPr>
        <w:rPr>
          <w:rFonts w:ascii="仿宋" w:hAnsi="仿宋" w:eastAsia="仿宋"/>
          <w:sz w:val="32"/>
          <w:szCs w:val="32"/>
        </w:rPr>
      </w:pPr>
    </w:p>
    <w:p w14:paraId="7A193813">
      <w:pPr>
        <w:rPr>
          <w:rFonts w:ascii="仿宋" w:hAnsi="仿宋" w:eastAsia="仿宋"/>
          <w:sz w:val="32"/>
          <w:szCs w:val="32"/>
        </w:rPr>
      </w:pPr>
    </w:p>
    <w:p w14:paraId="7CBB88A1">
      <w:pPr>
        <w:rPr>
          <w:rFonts w:ascii="仿宋" w:hAnsi="仿宋" w:eastAsia="仿宋"/>
          <w:sz w:val="32"/>
          <w:szCs w:val="32"/>
        </w:rPr>
      </w:pPr>
    </w:p>
    <w:p w14:paraId="2ACFF18B">
      <w:pPr>
        <w:rPr>
          <w:rFonts w:ascii="仿宋" w:hAnsi="仿宋" w:eastAsia="仿宋"/>
          <w:sz w:val="32"/>
          <w:szCs w:val="32"/>
        </w:rPr>
      </w:pPr>
    </w:p>
    <w:p w14:paraId="0979CBC9">
      <w:pPr>
        <w:jc w:val="center"/>
        <w:rPr>
          <w:rFonts w:ascii="仿宋" w:hAnsi="仿宋" w:eastAsia="仿宋"/>
          <w:sz w:val="32"/>
          <w:szCs w:val="32"/>
        </w:rPr>
      </w:pPr>
    </w:p>
    <w:p w14:paraId="6D85F820">
      <w:pPr>
        <w:jc w:val="center"/>
        <w:rPr>
          <w:rFonts w:ascii="仿宋" w:hAnsi="仿宋" w:eastAsia="仿宋"/>
          <w:sz w:val="32"/>
          <w:szCs w:val="32"/>
        </w:rPr>
      </w:pPr>
      <w:r>
        <w:rPr>
          <w:rFonts w:hint="eastAsia" w:ascii="仿宋" w:hAnsi="仿宋" w:eastAsia="仿宋"/>
          <w:sz w:val="32"/>
          <w:szCs w:val="32"/>
        </w:rPr>
        <w:t>三门峡市住房公积金管理中心</w:t>
      </w:r>
    </w:p>
    <w:p w14:paraId="617DB36C">
      <w:pPr>
        <w:jc w:val="center"/>
        <w:rPr>
          <w:rFonts w:ascii="仿宋" w:hAnsi="仿宋" w:eastAsia="仿宋"/>
          <w:sz w:val="32"/>
          <w:szCs w:val="32"/>
        </w:rPr>
      </w:pPr>
    </w:p>
    <w:p w14:paraId="292EC284">
      <w:pPr>
        <w:jc w:val="center"/>
        <w:rPr>
          <w:rFonts w:ascii="仿宋" w:hAnsi="仿宋" w:eastAsia="仿宋"/>
          <w:sz w:val="32"/>
          <w:szCs w:val="32"/>
        </w:rPr>
      </w:pPr>
      <w:r>
        <w:rPr>
          <w:rFonts w:hint="eastAsia" w:ascii="仿宋" w:hAnsi="仿宋" w:eastAsia="仿宋"/>
          <w:sz w:val="32"/>
          <w:szCs w:val="32"/>
        </w:rPr>
        <w:t>2023年6月</w:t>
      </w:r>
    </w:p>
    <w:p w14:paraId="697FF1FE">
      <w:pPr>
        <w:jc w:val="center"/>
        <w:rPr>
          <w:rFonts w:ascii="仿宋" w:hAnsi="仿宋" w:eastAsia="仿宋"/>
          <w:sz w:val="32"/>
          <w:szCs w:val="32"/>
        </w:rPr>
      </w:pPr>
    </w:p>
    <w:p w14:paraId="1AEE763F">
      <w:pPr>
        <w:rPr>
          <w:rFonts w:ascii="仿宋" w:hAnsi="仿宋" w:eastAsia="仿宋"/>
          <w:sz w:val="32"/>
          <w:szCs w:val="32"/>
        </w:rPr>
      </w:pPr>
      <w:r>
        <w:rPr>
          <w:rFonts w:ascii="仿宋" w:eastAsia="仿宋"/>
          <w:sz w:val="32"/>
          <w:szCs w:val="32"/>
        </w:rPr>
        <w:t> </w:t>
      </w:r>
    </w:p>
    <w:p w14:paraId="159C8859">
      <w:pPr>
        <w:spacing w:line="720" w:lineRule="exact"/>
        <w:ind w:firstLine="640" w:firstLineChars="200"/>
        <w:jc w:val="center"/>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14:paraId="0BB27308">
      <w:pPr>
        <w:spacing w:line="720" w:lineRule="exact"/>
        <w:ind w:firstLine="640" w:firstLineChars="200"/>
        <w:jc w:val="center"/>
        <w:rPr>
          <w:rFonts w:ascii="黑体" w:hAnsi="黑体" w:eastAsia="黑体"/>
          <w:sz w:val="32"/>
          <w:szCs w:val="32"/>
        </w:rPr>
      </w:pPr>
      <w:r>
        <w:rPr>
          <w:rFonts w:hint="eastAsia" w:ascii="黑体" w:hAnsi="黑体" w:eastAsia="黑体"/>
          <w:sz w:val="32"/>
          <w:szCs w:val="32"/>
        </w:rPr>
        <w:t>目  录</w:t>
      </w:r>
    </w:p>
    <w:p w14:paraId="6BE88913">
      <w:pPr>
        <w:spacing w:line="720" w:lineRule="exact"/>
        <w:ind w:firstLine="640" w:firstLineChars="200"/>
        <w:rPr>
          <w:rFonts w:ascii="黑体" w:hAnsi="黑体" w:eastAsia="黑体"/>
          <w:sz w:val="32"/>
          <w:szCs w:val="32"/>
        </w:rPr>
      </w:pPr>
      <w:r>
        <w:rPr>
          <w:rFonts w:hint="eastAsia" w:ascii="黑体" w:hAnsi="黑体" w:eastAsia="黑体"/>
          <w:sz w:val="32"/>
          <w:szCs w:val="32"/>
        </w:rPr>
        <w:t>一、 建设背景</w:t>
      </w:r>
    </w:p>
    <w:p w14:paraId="64BB4789">
      <w:pPr>
        <w:spacing w:line="720" w:lineRule="exact"/>
        <w:ind w:firstLine="640" w:firstLineChars="200"/>
        <w:rPr>
          <w:rFonts w:ascii="黑体" w:hAnsi="黑体" w:eastAsia="黑体"/>
          <w:sz w:val="32"/>
          <w:szCs w:val="32"/>
        </w:rPr>
      </w:pPr>
      <w:r>
        <w:rPr>
          <w:rFonts w:hint="eastAsia" w:ascii="黑体" w:hAnsi="黑体" w:eastAsia="黑体"/>
          <w:sz w:val="32"/>
          <w:szCs w:val="32"/>
        </w:rPr>
        <w:t>二、 建设必要性</w:t>
      </w:r>
    </w:p>
    <w:p w14:paraId="40C3E428">
      <w:pPr>
        <w:spacing w:line="720" w:lineRule="exact"/>
        <w:ind w:firstLine="640" w:firstLineChars="200"/>
        <w:rPr>
          <w:rFonts w:ascii="黑体" w:hAnsi="黑体" w:eastAsia="黑体"/>
          <w:sz w:val="32"/>
          <w:szCs w:val="32"/>
        </w:rPr>
      </w:pPr>
      <w:r>
        <w:rPr>
          <w:rFonts w:hint="eastAsia" w:ascii="黑体" w:hAnsi="黑体" w:eastAsia="黑体"/>
          <w:sz w:val="32"/>
          <w:szCs w:val="32"/>
        </w:rPr>
        <w:t>（一）国家、行业信息化发展提出了更高要求</w:t>
      </w:r>
    </w:p>
    <w:p w14:paraId="03F5C94B">
      <w:pPr>
        <w:spacing w:line="720" w:lineRule="exact"/>
        <w:ind w:firstLine="640" w:firstLineChars="200"/>
        <w:rPr>
          <w:rFonts w:ascii="黑体" w:hAnsi="黑体" w:eastAsia="黑体"/>
          <w:sz w:val="32"/>
          <w:szCs w:val="32"/>
        </w:rPr>
      </w:pPr>
      <w:r>
        <w:rPr>
          <w:rFonts w:hint="eastAsia" w:ascii="黑体" w:hAnsi="黑体" w:eastAsia="黑体"/>
          <w:sz w:val="32"/>
          <w:szCs w:val="32"/>
        </w:rPr>
        <w:t>（二）住房公积金高质量发展亟需强化信息化支撑</w:t>
      </w:r>
    </w:p>
    <w:p w14:paraId="4A7B8E1F">
      <w:pPr>
        <w:spacing w:line="720" w:lineRule="exact"/>
        <w:ind w:firstLine="640" w:firstLineChars="200"/>
        <w:rPr>
          <w:rFonts w:ascii="黑体" w:hAnsi="黑体" w:eastAsia="黑体"/>
          <w:sz w:val="32"/>
          <w:szCs w:val="32"/>
        </w:rPr>
      </w:pPr>
      <w:r>
        <w:rPr>
          <w:rFonts w:hint="eastAsia" w:ascii="黑体" w:hAnsi="黑体" w:eastAsia="黑体"/>
          <w:sz w:val="32"/>
          <w:szCs w:val="32"/>
        </w:rPr>
        <w:t>（三）新型技术发展催生新型公积金场景</w:t>
      </w:r>
      <w:r>
        <w:rPr>
          <w:rFonts w:hint="eastAsia" w:ascii="黑体" w:hAnsi="黑体" w:eastAsia="黑体"/>
          <w:sz w:val="32"/>
          <w:szCs w:val="32"/>
        </w:rPr>
        <w:tab/>
      </w:r>
    </w:p>
    <w:p w14:paraId="1F8CFAC9">
      <w:pPr>
        <w:spacing w:line="720" w:lineRule="exact"/>
        <w:ind w:firstLine="640" w:firstLineChars="200"/>
        <w:rPr>
          <w:rFonts w:ascii="黑体" w:hAnsi="黑体" w:eastAsia="黑体"/>
          <w:sz w:val="32"/>
          <w:szCs w:val="32"/>
        </w:rPr>
      </w:pPr>
      <w:r>
        <w:rPr>
          <w:rFonts w:hint="eastAsia" w:ascii="黑体" w:hAnsi="黑体" w:eastAsia="黑体"/>
          <w:sz w:val="32"/>
          <w:szCs w:val="32"/>
        </w:rPr>
        <w:t>三、 建设目标</w:t>
      </w:r>
    </w:p>
    <w:p w14:paraId="3ECAD69B">
      <w:pPr>
        <w:spacing w:line="720" w:lineRule="exact"/>
        <w:ind w:firstLine="640" w:firstLineChars="200"/>
        <w:rPr>
          <w:rFonts w:ascii="黑体" w:hAnsi="黑体" w:eastAsia="黑体"/>
          <w:sz w:val="32"/>
          <w:szCs w:val="32"/>
        </w:rPr>
      </w:pPr>
      <w:r>
        <w:rPr>
          <w:rFonts w:hint="eastAsia" w:ascii="黑体" w:hAnsi="黑体" w:eastAsia="黑体"/>
          <w:sz w:val="32"/>
          <w:szCs w:val="32"/>
        </w:rPr>
        <w:t>四、 建设内容</w:t>
      </w:r>
      <w:r>
        <w:rPr>
          <w:rFonts w:hint="eastAsia" w:ascii="黑体" w:hAnsi="黑体" w:eastAsia="黑体"/>
          <w:sz w:val="32"/>
          <w:szCs w:val="32"/>
        </w:rPr>
        <w:tab/>
      </w:r>
    </w:p>
    <w:p w14:paraId="31ACE72F">
      <w:pPr>
        <w:spacing w:line="720" w:lineRule="exact"/>
        <w:ind w:firstLine="640" w:firstLineChars="200"/>
        <w:rPr>
          <w:rFonts w:ascii="黑体" w:hAnsi="黑体" w:eastAsia="黑体"/>
          <w:sz w:val="32"/>
          <w:szCs w:val="32"/>
        </w:rPr>
      </w:pPr>
      <w:r>
        <w:rPr>
          <w:rFonts w:hint="eastAsia" w:ascii="黑体" w:hAnsi="黑体" w:eastAsia="黑体"/>
          <w:sz w:val="32"/>
          <w:szCs w:val="32"/>
        </w:rPr>
        <w:t>（一） 不见面服务系统（包括归集、提取、贷款办理及贷款签约）</w:t>
      </w:r>
    </w:p>
    <w:p w14:paraId="449CF836">
      <w:pPr>
        <w:spacing w:line="720" w:lineRule="exact"/>
        <w:ind w:firstLine="640" w:firstLineChars="200"/>
        <w:rPr>
          <w:rFonts w:ascii="黑体" w:hAnsi="黑体" w:eastAsia="黑体"/>
          <w:sz w:val="32"/>
          <w:szCs w:val="32"/>
        </w:rPr>
      </w:pPr>
      <w:r>
        <w:rPr>
          <w:rFonts w:hint="eastAsia" w:ascii="黑体" w:hAnsi="黑体" w:eastAsia="黑体"/>
          <w:sz w:val="32"/>
          <w:szCs w:val="32"/>
        </w:rPr>
        <w:t>（二） 稽核审计系统（覆盖住建部电子稽查工具、审计署审计规则、公积金中心自建规则）</w:t>
      </w:r>
    </w:p>
    <w:p w14:paraId="67FA2514">
      <w:pPr>
        <w:spacing w:line="720" w:lineRule="exact"/>
        <w:ind w:firstLine="640" w:firstLineChars="200"/>
        <w:rPr>
          <w:rFonts w:ascii="黑体" w:hAnsi="黑体" w:eastAsia="黑体"/>
          <w:sz w:val="32"/>
          <w:szCs w:val="32"/>
        </w:rPr>
      </w:pPr>
      <w:r>
        <w:rPr>
          <w:rFonts w:hint="eastAsia" w:ascii="黑体" w:hAnsi="黑体" w:eastAsia="黑体"/>
          <w:sz w:val="32"/>
          <w:szCs w:val="32"/>
        </w:rPr>
        <w:t>（三） 数据共享管控系统</w:t>
      </w:r>
    </w:p>
    <w:p w14:paraId="6B26879E">
      <w:pPr>
        <w:spacing w:line="720" w:lineRule="exact"/>
        <w:ind w:firstLine="640" w:firstLineChars="200"/>
        <w:rPr>
          <w:rFonts w:ascii="黑体" w:hAnsi="黑体" w:eastAsia="黑体"/>
          <w:sz w:val="32"/>
          <w:szCs w:val="32"/>
        </w:rPr>
      </w:pPr>
      <w:r>
        <w:rPr>
          <w:rFonts w:hint="eastAsia" w:ascii="黑体" w:hAnsi="黑体" w:eastAsia="黑体"/>
          <w:sz w:val="32"/>
          <w:szCs w:val="32"/>
        </w:rPr>
        <w:t>（四） 移动办公系统(支持中心端业务移动办公、智能审批)</w:t>
      </w:r>
      <w:r>
        <w:rPr>
          <w:rFonts w:hint="eastAsia" w:ascii="黑体" w:hAnsi="黑体" w:eastAsia="黑体"/>
          <w:sz w:val="32"/>
          <w:szCs w:val="32"/>
        </w:rPr>
        <w:tab/>
      </w:r>
    </w:p>
    <w:p w14:paraId="4581F220">
      <w:pPr>
        <w:spacing w:line="720" w:lineRule="exact"/>
        <w:ind w:firstLine="640" w:firstLineChars="200"/>
        <w:rPr>
          <w:rFonts w:ascii="黑体" w:hAnsi="黑体" w:eastAsia="黑体"/>
          <w:sz w:val="32"/>
          <w:szCs w:val="32"/>
        </w:rPr>
      </w:pPr>
      <w:r>
        <w:rPr>
          <w:rFonts w:hint="eastAsia" w:ascii="黑体" w:hAnsi="黑体" w:eastAsia="黑体"/>
          <w:sz w:val="32"/>
          <w:szCs w:val="32"/>
        </w:rPr>
        <w:t>（五） 电子档案系统（符合住建部标准要求）</w:t>
      </w:r>
    </w:p>
    <w:p w14:paraId="5C1EF2A8">
      <w:pPr>
        <w:spacing w:line="720" w:lineRule="exact"/>
        <w:ind w:firstLine="640" w:firstLineChars="200"/>
        <w:rPr>
          <w:rFonts w:ascii="黑体" w:hAnsi="黑体" w:eastAsia="黑体"/>
          <w:sz w:val="32"/>
          <w:szCs w:val="32"/>
        </w:rPr>
      </w:pPr>
      <w:r>
        <w:rPr>
          <w:rFonts w:hint="eastAsia" w:ascii="黑体" w:hAnsi="黑体" w:eastAsia="黑体"/>
          <w:sz w:val="32"/>
          <w:szCs w:val="32"/>
        </w:rPr>
        <w:t>（六） 新一代信息系统（满足住建部最新智慧公积金建设要求）</w:t>
      </w:r>
    </w:p>
    <w:p w14:paraId="24396592">
      <w:pPr>
        <w:spacing w:line="720" w:lineRule="exact"/>
        <w:ind w:firstLine="640" w:firstLineChars="200"/>
        <w:rPr>
          <w:rFonts w:ascii="黑体" w:hAnsi="黑体" w:eastAsia="黑体"/>
          <w:sz w:val="32"/>
          <w:szCs w:val="32"/>
        </w:rPr>
      </w:pPr>
      <w:r>
        <w:rPr>
          <w:rFonts w:hint="eastAsia" w:ascii="黑体" w:hAnsi="黑体" w:eastAsia="黑体"/>
          <w:sz w:val="32"/>
          <w:szCs w:val="32"/>
        </w:rPr>
        <w:t>（七） 数据治理及应用（满足住建部数字化发展要求）</w:t>
      </w:r>
    </w:p>
    <w:p w14:paraId="6610CA6F">
      <w:pPr>
        <w:spacing w:line="720" w:lineRule="exact"/>
        <w:ind w:firstLine="640" w:firstLineChars="200"/>
        <w:rPr>
          <w:rFonts w:ascii="黑体" w:hAnsi="黑体" w:eastAsia="黑体"/>
          <w:sz w:val="32"/>
          <w:szCs w:val="32"/>
        </w:rPr>
      </w:pPr>
      <w:r>
        <w:rPr>
          <w:rFonts w:hint="eastAsia" w:ascii="黑体" w:hAnsi="黑体" w:eastAsia="黑体"/>
          <w:sz w:val="32"/>
          <w:szCs w:val="32"/>
        </w:rPr>
        <w:t>（八） 信创改造适配（包括基础硬件适配和服务端国产芯片、操作系统、数据库、中间件适配）</w:t>
      </w:r>
    </w:p>
    <w:p w14:paraId="56520268">
      <w:pPr>
        <w:spacing w:line="720" w:lineRule="exact"/>
        <w:ind w:firstLine="640" w:firstLineChars="200"/>
        <w:rPr>
          <w:rFonts w:ascii="黑体" w:hAnsi="黑体" w:eastAsia="黑体"/>
          <w:sz w:val="32"/>
          <w:szCs w:val="32"/>
        </w:rPr>
      </w:pPr>
      <w:r>
        <w:rPr>
          <w:rFonts w:hint="eastAsia" w:ascii="黑体" w:hAnsi="黑体" w:eastAsia="黑体"/>
          <w:sz w:val="32"/>
          <w:szCs w:val="32"/>
        </w:rPr>
        <w:t>五、项目规划</w:t>
      </w:r>
    </w:p>
    <w:p w14:paraId="17BEB180">
      <w:pPr>
        <w:spacing w:line="720" w:lineRule="exact"/>
        <w:ind w:firstLine="640" w:firstLineChars="200"/>
        <w:rPr>
          <w:rFonts w:ascii="黑体" w:hAnsi="黑体" w:eastAsia="黑体"/>
          <w:sz w:val="32"/>
          <w:szCs w:val="32"/>
        </w:rPr>
      </w:pPr>
      <w:r>
        <w:rPr>
          <w:rFonts w:hint="eastAsia" w:ascii="黑体" w:hAnsi="黑体" w:eastAsia="黑体"/>
          <w:sz w:val="32"/>
          <w:szCs w:val="32"/>
        </w:rPr>
        <w:t>（一）第一阶段：2023-2024年，立足中心效能提升，提升业务、服务、管理等核心能力</w:t>
      </w:r>
    </w:p>
    <w:p w14:paraId="1F40A40F">
      <w:pPr>
        <w:spacing w:line="720" w:lineRule="exact"/>
        <w:ind w:firstLine="640" w:firstLineChars="200"/>
        <w:rPr>
          <w:rFonts w:ascii="黑体" w:hAnsi="黑体" w:eastAsia="黑体"/>
          <w:sz w:val="32"/>
          <w:szCs w:val="32"/>
        </w:rPr>
      </w:pPr>
      <w:r>
        <w:rPr>
          <w:rFonts w:hint="eastAsia" w:ascii="黑体" w:hAnsi="黑体" w:eastAsia="黑体"/>
          <w:sz w:val="32"/>
          <w:szCs w:val="32"/>
        </w:rPr>
        <w:t>（二）第二阶段：2024-2025年，聚焦中心整体发展，重构新一代信息系统，数据赋能推动中心数字化转型</w:t>
      </w:r>
    </w:p>
    <w:p w14:paraId="30E47B57">
      <w:pPr>
        <w:spacing w:line="720" w:lineRule="exact"/>
        <w:ind w:firstLine="640" w:firstLineChars="200"/>
        <w:rPr>
          <w:rFonts w:ascii="黑体" w:hAnsi="黑体" w:eastAsia="黑体"/>
          <w:sz w:val="32"/>
          <w:szCs w:val="32"/>
        </w:rPr>
      </w:pPr>
      <w:r>
        <w:rPr>
          <w:rFonts w:hint="eastAsia" w:ascii="黑体" w:hAnsi="黑体" w:eastAsia="黑体"/>
          <w:sz w:val="32"/>
          <w:szCs w:val="32"/>
        </w:rPr>
        <w:t>（三）第三阶段：2025-2026年，全面开启数字征程，赋能中心高质量发展</w:t>
      </w:r>
    </w:p>
    <w:p w14:paraId="4C15744B">
      <w:pPr>
        <w:spacing w:line="720" w:lineRule="exact"/>
        <w:ind w:firstLine="640" w:firstLineChars="200"/>
        <w:rPr>
          <w:rFonts w:ascii="黑体" w:hAnsi="黑体" w:eastAsia="黑体"/>
          <w:sz w:val="32"/>
          <w:szCs w:val="32"/>
        </w:rPr>
      </w:pPr>
      <w:r>
        <w:rPr>
          <w:rFonts w:hint="eastAsia" w:ascii="黑体" w:hAnsi="黑体" w:eastAsia="黑体"/>
          <w:sz w:val="32"/>
          <w:szCs w:val="32"/>
        </w:rPr>
        <w:t>六、考核激励机制</w:t>
      </w:r>
    </w:p>
    <w:p w14:paraId="784B5AC3">
      <w:pPr>
        <w:rPr>
          <w:rFonts w:ascii="仿宋" w:hAnsi="仿宋" w:eastAsia="仿宋"/>
          <w:sz w:val="32"/>
          <w:szCs w:val="32"/>
        </w:rPr>
      </w:pPr>
    </w:p>
    <w:p w14:paraId="2252447B">
      <w:pPr>
        <w:rPr>
          <w:rFonts w:ascii="仿宋" w:hAnsi="仿宋" w:eastAsia="仿宋"/>
          <w:sz w:val="32"/>
          <w:szCs w:val="32"/>
        </w:rPr>
      </w:pPr>
      <w:r>
        <w:rPr>
          <w:rFonts w:ascii="仿宋" w:hAnsi="仿宋" w:eastAsia="仿宋"/>
          <w:sz w:val="32"/>
          <w:szCs w:val="32"/>
        </w:rPr>
        <w:t xml:space="preserve"> </w:t>
      </w:r>
    </w:p>
    <w:p w14:paraId="3DD04A78">
      <w:pPr>
        <w:rPr>
          <w:rFonts w:ascii="仿宋" w:hAnsi="仿宋" w:eastAsia="仿宋"/>
          <w:sz w:val="32"/>
          <w:szCs w:val="32"/>
        </w:rPr>
      </w:pPr>
    </w:p>
    <w:p w14:paraId="098EDE61">
      <w:pPr>
        <w:rPr>
          <w:rFonts w:ascii="仿宋" w:hAnsi="仿宋" w:eastAsia="仿宋"/>
          <w:sz w:val="32"/>
          <w:szCs w:val="32"/>
        </w:rPr>
      </w:pPr>
    </w:p>
    <w:p w14:paraId="1449BEF7">
      <w:pPr>
        <w:rPr>
          <w:rFonts w:ascii="仿宋" w:hAnsi="仿宋" w:eastAsia="仿宋"/>
          <w:sz w:val="32"/>
          <w:szCs w:val="32"/>
        </w:rPr>
      </w:pPr>
    </w:p>
    <w:p w14:paraId="1E025F6D">
      <w:pPr>
        <w:rPr>
          <w:rFonts w:ascii="仿宋" w:hAnsi="仿宋" w:eastAsia="仿宋"/>
          <w:sz w:val="32"/>
          <w:szCs w:val="32"/>
        </w:rPr>
      </w:pPr>
    </w:p>
    <w:p w14:paraId="6E2B9FF8">
      <w:pPr>
        <w:rPr>
          <w:rFonts w:ascii="仿宋" w:hAnsi="仿宋" w:eastAsia="仿宋"/>
          <w:sz w:val="32"/>
          <w:szCs w:val="32"/>
        </w:rPr>
      </w:pPr>
    </w:p>
    <w:p w14:paraId="1B80FA7A">
      <w:pPr>
        <w:rPr>
          <w:rFonts w:ascii="仿宋" w:hAnsi="仿宋" w:eastAsia="仿宋"/>
          <w:sz w:val="32"/>
          <w:szCs w:val="32"/>
        </w:rPr>
      </w:pPr>
    </w:p>
    <w:p w14:paraId="62ED5ED7">
      <w:pPr>
        <w:rPr>
          <w:rFonts w:ascii="仿宋" w:hAnsi="仿宋" w:eastAsia="仿宋"/>
          <w:sz w:val="32"/>
          <w:szCs w:val="32"/>
        </w:rPr>
      </w:pPr>
    </w:p>
    <w:p w14:paraId="01BD464E">
      <w:pPr>
        <w:rPr>
          <w:rFonts w:ascii="仿宋" w:hAnsi="仿宋" w:eastAsia="仿宋"/>
          <w:sz w:val="32"/>
          <w:szCs w:val="32"/>
        </w:rPr>
      </w:pPr>
    </w:p>
    <w:p w14:paraId="5C20E168">
      <w:pPr>
        <w:spacing w:line="720" w:lineRule="exact"/>
        <w:ind w:firstLine="643" w:firstLineChars="200"/>
        <w:rPr>
          <w:rFonts w:ascii="楷体_GB2312" w:hAnsi="仿宋" w:eastAsia="楷体_GB2312"/>
          <w:b/>
          <w:sz w:val="32"/>
          <w:szCs w:val="32"/>
        </w:rPr>
      </w:pPr>
    </w:p>
    <w:p w14:paraId="47CE6F1C">
      <w:pPr>
        <w:spacing w:line="720" w:lineRule="exact"/>
        <w:ind w:firstLine="640" w:firstLineChars="200"/>
        <w:rPr>
          <w:rFonts w:ascii="黑体" w:hAnsi="黑体" w:eastAsia="黑体"/>
          <w:sz w:val="32"/>
          <w:szCs w:val="32"/>
        </w:rPr>
      </w:pPr>
      <w:r>
        <w:rPr>
          <w:rFonts w:hint="eastAsia" w:ascii="黑体" w:hAnsi="黑体" w:eastAsia="黑体"/>
          <w:sz w:val="32"/>
          <w:szCs w:val="32"/>
        </w:rPr>
        <w:t>一、建设背景</w:t>
      </w:r>
    </w:p>
    <w:p w14:paraId="38AE25B1">
      <w:pPr>
        <w:spacing w:line="720" w:lineRule="exact"/>
        <w:ind w:firstLine="640" w:firstLineChars="200"/>
        <w:rPr>
          <w:rFonts w:ascii="仿宋" w:hAnsi="仿宋" w:eastAsia="仿宋"/>
          <w:sz w:val="32"/>
          <w:szCs w:val="32"/>
        </w:rPr>
      </w:pPr>
      <w:r>
        <w:rPr>
          <w:rFonts w:hint="eastAsia" w:ascii="仿宋" w:hAnsi="仿宋" w:eastAsia="仿宋"/>
          <w:sz w:val="32"/>
          <w:szCs w:val="32"/>
        </w:rPr>
        <w:t>“十四五”时期，党中央高度重视以信息化推进国家治理体系和治理能力的现代化，</w:t>
      </w:r>
      <w:r>
        <w:rPr>
          <w:rFonts w:hint="eastAsia" w:ascii="仿宋" w:hAnsi="仿宋" w:eastAsia="仿宋"/>
          <w:sz w:val="32"/>
          <w:szCs w:val="32"/>
          <w:lang w:eastAsia="zh-CN"/>
        </w:rPr>
        <w:t>不断</w:t>
      </w:r>
      <w:r>
        <w:rPr>
          <w:rFonts w:hint="eastAsia" w:ascii="仿宋" w:hAnsi="仿宋" w:eastAsia="仿宋"/>
          <w:sz w:val="32"/>
          <w:szCs w:val="32"/>
        </w:rPr>
        <w:t>加快推进数字政府建设。2022年住建部印发《住房和城乡建设部关于加快住房公积金数字化发展的指导意见》，作为最新的住房公积金数字化发展指导纲领，明确</w:t>
      </w:r>
      <w:r>
        <w:rPr>
          <w:rFonts w:hint="eastAsia" w:ascii="仿宋" w:hAnsi="仿宋" w:eastAsia="仿宋"/>
          <w:sz w:val="32"/>
          <w:szCs w:val="32"/>
          <w:lang w:eastAsia="zh-CN"/>
        </w:rPr>
        <w:t>了</w:t>
      </w:r>
      <w:r>
        <w:rPr>
          <w:rFonts w:hint="eastAsia" w:ascii="仿宋" w:hAnsi="仿宋" w:eastAsia="仿宋"/>
          <w:sz w:val="32"/>
          <w:szCs w:val="32"/>
        </w:rPr>
        <w:t>住房公积金服务、管理等方面工作</w:t>
      </w:r>
      <w:r>
        <w:rPr>
          <w:rFonts w:hint="eastAsia" w:ascii="仿宋" w:hAnsi="仿宋" w:eastAsia="仿宋"/>
          <w:sz w:val="32"/>
          <w:szCs w:val="32"/>
          <w:lang w:eastAsia="zh-CN"/>
        </w:rPr>
        <w:t>发展</w:t>
      </w:r>
      <w:r>
        <w:rPr>
          <w:rFonts w:hint="eastAsia" w:ascii="仿宋" w:hAnsi="仿宋" w:eastAsia="仿宋"/>
          <w:sz w:val="32"/>
          <w:szCs w:val="32"/>
        </w:rPr>
        <w:t>方向，为未来住房公积金事业蓬勃发展奠定了坚实基础。</w:t>
      </w:r>
    </w:p>
    <w:p w14:paraId="4DC128B4">
      <w:pPr>
        <w:spacing w:line="720" w:lineRule="exact"/>
        <w:ind w:firstLine="640" w:firstLineChars="200"/>
        <w:rPr>
          <w:rFonts w:ascii="黑体" w:hAnsi="黑体" w:eastAsia="黑体"/>
          <w:sz w:val="32"/>
          <w:szCs w:val="32"/>
        </w:rPr>
      </w:pPr>
      <w:r>
        <w:rPr>
          <w:rFonts w:hint="eastAsia" w:ascii="黑体" w:hAnsi="黑体" w:eastAsia="黑体"/>
          <w:sz w:val="32"/>
          <w:szCs w:val="32"/>
        </w:rPr>
        <w:t>二、建设必要性</w:t>
      </w:r>
    </w:p>
    <w:p w14:paraId="48B40BF2">
      <w:pPr>
        <w:spacing w:line="720" w:lineRule="exact"/>
        <w:ind w:firstLine="640" w:firstLineChars="200"/>
        <w:rPr>
          <w:rFonts w:ascii="仿宋" w:hAnsi="仿宋" w:eastAsia="仿宋"/>
          <w:sz w:val="32"/>
          <w:szCs w:val="32"/>
        </w:rPr>
      </w:pPr>
      <w:r>
        <w:rPr>
          <w:rFonts w:hint="eastAsia" w:ascii="仿宋" w:hAnsi="仿宋" w:eastAsia="仿宋"/>
          <w:sz w:val="32"/>
          <w:szCs w:val="32"/>
        </w:rPr>
        <w:t>三门峡市住房公积金管理中心（以下简称中心）作为重要的民生保障部门</w:t>
      </w:r>
      <w:r>
        <w:rPr>
          <w:rFonts w:hint="eastAsia" w:ascii="仿宋" w:hAnsi="仿宋" w:eastAsia="仿宋"/>
          <w:sz w:val="32"/>
          <w:szCs w:val="32"/>
          <w:lang w:eastAsia="zh-CN"/>
        </w:rPr>
        <w:t>，</w:t>
      </w:r>
      <w:r>
        <w:rPr>
          <w:rFonts w:hint="eastAsia" w:ascii="仿宋" w:hAnsi="仿宋" w:eastAsia="仿宋"/>
          <w:sz w:val="32"/>
          <w:szCs w:val="32"/>
          <w:lang w:val="en-US" w:eastAsia="zh-CN"/>
        </w:rPr>
        <w:t>始终</w:t>
      </w:r>
      <w:r>
        <w:rPr>
          <w:rFonts w:hint="eastAsia" w:ascii="仿宋" w:hAnsi="仿宋" w:eastAsia="仿宋"/>
          <w:sz w:val="32"/>
          <w:szCs w:val="32"/>
        </w:rPr>
        <w:t>高度重视信息化建设，目前已经建立了以业务经办为主的核心业务系统</w:t>
      </w:r>
      <w:r>
        <w:rPr>
          <w:rFonts w:hint="eastAsia" w:ascii="仿宋" w:hAnsi="仿宋" w:eastAsia="仿宋"/>
          <w:sz w:val="32"/>
          <w:szCs w:val="32"/>
          <w:lang w:eastAsia="zh-CN"/>
        </w:rPr>
        <w:t>和</w:t>
      </w:r>
      <w:r>
        <w:rPr>
          <w:rFonts w:hint="eastAsia" w:ascii="仿宋" w:hAnsi="仿宋" w:eastAsia="仿宋"/>
          <w:sz w:val="32"/>
          <w:szCs w:val="32"/>
        </w:rPr>
        <w:t>以公众服务为目的的综合服务平台，并且通过优化业务流程、数据协查等方式实现了</w:t>
      </w:r>
      <w:r>
        <w:rPr>
          <w:rFonts w:hint="eastAsia" w:ascii="仿宋" w:hAnsi="仿宋" w:eastAsia="仿宋"/>
          <w:sz w:val="32"/>
          <w:szCs w:val="32"/>
          <w:lang w:eastAsia="zh-CN"/>
        </w:rPr>
        <w:t>“</w:t>
      </w:r>
      <w:r>
        <w:rPr>
          <w:rFonts w:hint="eastAsia" w:ascii="仿宋" w:hAnsi="仿宋" w:eastAsia="仿宋"/>
          <w:sz w:val="32"/>
          <w:szCs w:val="32"/>
        </w:rPr>
        <w:t>线下办+线上自助办</w:t>
      </w:r>
      <w:r>
        <w:rPr>
          <w:rFonts w:hint="eastAsia" w:ascii="仿宋" w:hAnsi="仿宋" w:eastAsia="仿宋"/>
          <w:sz w:val="32"/>
          <w:szCs w:val="32"/>
          <w:lang w:eastAsia="zh-CN"/>
        </w:rPr>
        <w:t>”</w:t>
      </w:r>
      <w:r>
        <w:rPr>
          <w:rFonts w:hint="eastAsia" w:ascii="仿宋" w:hAnsi="仿宋" w:eastAsia="仿宋"/>
          <w:sz w:val="32"/>
          <w:szCs w:val="32"/>
        </w:rPr>
        <w:t>双通道业务服务新模式。</w:t>
      </w:r>
    </w:p>
    <w:p w14:paraId="1AF85558">
      <w:pPr>
        <w:spacing w:line="720" w:lineRule="exact"/>
        <w:ind w:firstLine="640" w:firstLineChars="200"/>
        <w:rPr>
          <w:rFonts w:ascii="仿宋" w:hAnsi="仿宋" w:eastAsia="仿宋"/>
          <w:sz w:val="32"/>
          <w:szCs w:val="32"/>
        </w:rPr>
      </w:pPr>
      <w:r>
        <w:rPr>
          <w:rFonts w:hint="eastAsia" w:ascii="仿宋" w:hAnsi="仿宋" w:eastAsia="仿宋"/>
          <w:sz w:val="32"/>
          <w:szCs w:val="32"/>
        </w:rPr>
        <w:t>随着国家、行业、地方政府各项惠民政策的密集出台，中心不断根据发展要求对现有信息管理系统进行更新。在业务量</w:t>
      </w:r>
      <w:r>
        <w:rPr>
          <w:rFonts w:hint="eastAsia" w:ascii="仿宋" w:hAnsi="仿宋" w:eastAsia="仿宋"/>
          <w:sz w:val="32"/>
          <w:szCs w:val="32"/>
          <w:lang w:val="en-US" w:eastAsia="zh-CN"/>
        </w:rPr>
        <w:t>持续</w:t>
      </w:r>
      <w:r>
        <w:rPr>
          <w:rFonts w:hint="eastAsia" w:ascii="仿宋" w:hAnsi="仿宋" w:eastAsia="仿宋"/>
          <w:sz w:val="32"/>
          <w:szCs w:val="32"/>
        </w:rPr>
        <w:t>增加的同时，缴存职工对公积金服务的要求也在提高，如何履行好法律赋予的职责，处理好管理、监督与服务的关系，更好地服务缴存职工，已成为中心</w:t>
      </w:r>
      <w:r>
        <w:rPr>
          <w:rFonts w:hint="eastAsia" w:ascii="仿宋" w:hAnsi="仿宋" w:eastAsia="仿宋"/>
          <w:sz w:val="32"/>
          <w:szCs w:val="32"/>
          <w:lang w:eastAsia="zh-CN"/>
        </w:rPr>
        <w:t>亟需解决</w:t>
      </w:r>
      <w:r>
        <w:rPr>
          <w:rFonts w:hint="eastAsia" w:ascii="仿宋" w:hAnsi="仿宋" w:eastAsia="仿宋"/>
          <w:sz w:val="32"/>
          <w:szCs w:val="32"/>
        </w:rPr>
        <w:t>的一项重</w:t>
      </w:r>
      <w:r>
        <w:rPr>
          <w:rFonts w:hint="eastAsia" w:ascii="仿宋" w:hAnsi="仿宋" w:eastAsia="仿宋"/>
          <w:sz w:val="32"/>
          <w:szCs w:val="32"/>
          <w:lang w:eastAsia="zh-CN"/>
        </w:rPr>
        <w:t>要问题</w:t>
      </w:r>
      <w:r>
        <w:rPr>
          <w:rFonts w:hint="eastAsia" w:ascii="仿宋" w:hAnsi="仿宋" w:eastAsia="仿宋"/>
          <w:sz w:val="32"/>
          <w:szCs w:val="32"/>
        </w:rPr>
        <w:t>。</w:t>
      </w:r>
    </w:p>
    <w:p w14:paraId="0FFA36CB">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（一）国家、行业对信息化发展提出了更高要求</w:t>
      </w:r>
    </w:p>
    <w:p w14:paraId="426E238C">
      <w:pPr>
        <w:spacing w:line="720" w:lineRule="exact"/>
        <w:ind w:firstLine="640" w:firstLineChars="200"/>
        <w:rPr>
          <w:rFonts w:ascii="仿宋" w:hAnsi="仿宋" w:eastAsia="仿宋"/>
          <w:sz w:val="32"/>
          <w:szCs w:val="32"/>
        </w:rPr>
      </w:pPr>
      <w:r>
        <w:rPr>
          <w:rFonts w:hint="eastAsia" w:ascii="仿宋" w:hAnsi="仿宋" w:eastAsia="仿宋"/>
          <w:sz w:val="32"/>
          <w:szCs w:val="32"/>
        </w:rPr>
        <w:t>“十四五”以来，党中央、国务院、相关部委对于加强数字政府建设</w:t>
      </w:r>
      <w:r>
        <w:rPr>
          <w:rFonts w:hint="eastAsia" w:ascii="仿宋" w:hAnsi="仿宋" w:eastAsia="仿宋"/>
          <w:sz w:val="32"/>
          <w:szCs w:val="32"/>
          <w:lang w:eastAsia="zh-CN"/>
        </w:rPr>
        <w:t>作</w:t>
      </w:r>
      <w:r>
        <w:rPr>
          <w:rFonts w:hint="eastAsia" w:ascii="仿宋" w:hAnsi="仿宋" w:eastAsia="仿宋"/>
          <w:sz w:val="32"/>
          <w:szCs w:val="32"/>
        </w:rPr>
        <w:t>出决策部署，相继发布《“十四五”推进国家政务信息化规划》和《国务院关于加强数字政府建设的指导意见》等一系列重要文件，对政务信息化工作和数字政府建设提出了具体要求。</w:t>
      </w:r>
    </w:p>
    <w:p w14:paraId="766F4924">
      <w:pPr>
        <w:spacing w:line="720" w:lineRule="exact"/>
        <w:ind w:firstLine="640" w:firstLineChars="200"/>
        <w:rPr>
          <w:rFonts w:ascii="仿宋" w:hAnsi="仿宋" w:eastAsia="仿宋"/>
          <w:sz w:val="32"/>
          <w:szCs w:val="32"/>
        </w:rPr>
      </w:pPr>
      <w:r>
        <w:rPr>
          <w:rFonts w:hint="eastAsia" w:ascii="仿宋" w:hAnsi="仿宋" w:eastAsia="仿宋"/>
          <w:sz w:val="32"/>
          <w:szCs w:val="32"/>
        </w:rPr>
        <w:t>在国家加快推进政务信息化发展、加强数字政府建设的背景下，住房和城乡建设部</w:t>
      </w:r>
      <w:r>
        <w:rPr>
          <w:rFonts w:hint="eastAsia" w:ascii="仿宋" w:hAnsi="仿宋" w:eastAsia="仿宋"/>
          <w:sz w:val="32"/>
          <w:szCs w:val="32"/>
          <w:lang w:eastAsia="zh-CN"/>
        </w:rPr>
        <w:t>于</w:t>
      </w:r>
      <w:r>
        <w:rPr>
          <w:rFonts w:hint="eastAsia" w:ascii="仿宋" w:hAnsi="仿宋" w:eastAsia="仿宋"/>
          <w:sz w:val="32"/>
          <w:szCs w:val="32"/>
          <w:lang w:val="en-US" w:eastAsia="zh-CN"/>
        </w:rPr>
        <w:t>2022年</w:t>
      </w:r>
      <w:r>
        <w:rPr>
          <w:rFonts w:hint="eastAsia" w:ascii="仿宋" w:hAnsi="仿宋" w:eastAsia="仿宋"/>
          <w:sz w:val="32"/>
          <w:szCs w:val="32"/>
        </w:rPr>
        <w:t>发布</w:t>
      </w:r>
      <w:r>
        <w:rPr>
          <w:rFonts w:hint="eastAsia" w:ascii="仿宋" w:hAnsi="仿宋" w:eastAsia="仿宋"/>
          <w:sz w:val="32"/>
          <w:szCs w:val="32"/>
          <w:lang w:eastAsia="zh-CN"/>
        </w:rPr>
        <w:t>了</w:t>
      </w:r>
      <w:r>
        <w:rPr>
          <w:rFonts w:hint="eastAsia" w:ascii="仿宋" w:hAnsi="仿宋" w:eastAsia="仿宋"/>
          <w:sz w:val="32"/>
          <w:szCs w:val="32"/>
        </w:rPr>
        <w:t>《关于加快住房公积金数字化发展的指导意见》（以下简称《指导意见》）。《指导意见》指出，</w:t>
      </w:r>
      <w:r>
        <w:rPr>
          <w:rFonts w:hint="eastAsia" w:ascii="仿宋" w:hAnsi="仿宋" w:eastAsia="仿宋"/>
          <w:sz w:val="32"/>
          <w:szCs w:val="32"/>
          <w:lang w:eastAsia="zh-CN"/>
        </w:rPr>
        <w:t>要</w:t>
      </w:r>
      <w:r>
        <w:rPr>
          <w:rFonts w:hint="eastAsia" w:ascii="仿宋" w:hAnsi="仿宋" w:eastAsia="仿宋"/>
          <w:sz w:val="32"/>
          <w:szCs w:val="32"/>
        </w:rPr>
        <w:t>将数字技术广泛应用于住房公积金管理服务，推进业务流程优化、模式创新和履职能力提升，打造全系统业务协同、全方位数据赋能、全业务线上服务、全链条智能监管的住房公积金数字化发展新模式，更好地服务缴存人和缴存单位、服务住房工作大局，服务国家治理体系和治理能力现代化。《指导意见》还进一步明确了住房公积金数字化发展的关键时间节点，即到2025年，住房公积金数字化发展新模式基本确立。</w:t>
      </w:r>
    </w:p>
    <w:p w14:paraId="6F4AA237">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（二）住房公积金高质量发展亟需</w:t>
      </w:r>
      <w:r>
        <w:rPr>
          <w:rFonts w:hint="eastAsia" w:ascii="楷体_GB2312" w:hAnsi="仿宋" w:eastAsia="楷体_GB2312"/>
          <w:sz w:val="32"/>
          <w:szCs w:val="32"/>
          <w:lang w:val="en-US" w:eastAsia="zh-CN"/>
        </w:rPr>
        <w:t>加强</w:t>
      </w:r>
      <w:r>
        <w:rPr>
          <w:rFonts w:hint="eastAsia" w:ascii="楷体_GB2312" w:hAnsi="仿宋" w:eastAsia="楷体_GB2312"/>
          <w:sz w:val="32"/>
          <w:szCs w:val="32"/>
        </w:rPr>
        <w:t>信息化支撑</w:t>
      </w:r>
    </w:p>
    <w:p w14:paraId="7CAD8F75">
      <w:pPr>
        <w:spacing w:line="720" w:lineRule="exact"/>
        <w:ind w:firstLine="640" w:firstLineChars="200"/>
        <w:rPr>
          <w:rFonts w:ascii="仿宋" w:hAnsi="仿宋" w:eastAsia="仿宋"/>
          <w:sz w:val="32"/>
          <w:szCs w:val="32"/>
        </w:rPr>
      </w:pPr>
      <w:r>
        <w:rPr>
          <w:rFonts w:hint="eastAsia" w:ascii="仿宋" w:hAnsi="仿宋" w:eastAsia="仿宋"/>
          <w:sz w:val="32"/>
          <w:szCs w:val="32"/>
        </w:rPr>
        <w:t>住房公积金高质量发展的目标是基本建立覆盖广泛、功能健全、服务高效、监管有力的住房公积金制度，建成更加成熟完备、整体协同、敏捷高效、智能精准、公平普惠的智慧住房公积金体系，为建立租购并举住房制度、构建住房保障体系、稳定房地产市场提供政策性金融支撑。住房公积金高质量发展中业务、服务、管理、风控等关键能力提升要素，都需要信息化做强有力的支撑。</w:t>
      </w:r>
    </w:p>
    <w:p w14:paraId="6845024F">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（三）新型技术发展催生新型公积金场景</w:t>
      </w:r>
    </w:p>
    <w:p w14:paraId="0371A224">
      <w:pPr>
        <w:spacing w:line="720" w:lineRule="exact"/>
        <w:ind w:firstLine="640" w:firstLineChars="200"/>
        <w:rPr>
          <w:rFonts w:ascii="仿宋" w:hAnsi="仿宋" w:eastAsia="仿宋"/>
          <w:sz w:val="32"/>
          <w:szCs w:val="32"/>
        </w:rPr>
      </w:pPr>
      <w:r>
        <w:rPr>
          <w:rFonts w:hint="eastAsia" w:ascii="仿宋" w:hAnsi="仿宋" w:eastAsia="仿宋"/>
          <w:sz w:val="32"/>
          <w:szCs w:val="32"/>
        </w:rPr>
        <w:t>现有的公积金管理系统由于建设时间较早，功能相对单一、结构相对简单，其可共享性低</w:t>
      </w:r>
      <w:r>
        <w:rPr>
          <w:rFonts w:hint="eastAsia" w:ascii="仿宋" w:hAnsi="仿宋" w:eastAsia="仿宋"/>
          <w:sz w:val="32"/>
          <w:szCs w:val="32"/>
          <w:lang w:eastAsia="zh-CN"/>
        </w:rPr>
        <w:t>，</w:t>
      </w:r>
      <w:r>
        <w:rPr>
          <w:rFonts w:hint="eastAsia" w:ascii="仿宋" w:hAnsi="仿宋" w:eastAsia="仿宋"/>
          <w:sz w:val="32"/>
          <w:szCs w:val="32"/>
        </w:rPr>
        <w:t>兼容性、保密性、安全性和稳定性较差。随着信息技术的发展，当前以云计算、大数据、人工智能、区块链、5G 等为代表的科技前沿技术发展</w:t>
      </w:r>
      <w:r>
        <w:rPr>
          <w:rFonts w:hint="eastAsia" w:ascii="仿宋" w:hAnsi="仿宋" w:eastAsia="仿宋"/>
          <w:sz w:val="32"/>
          <w:szCs w:val="32"/>
          <w:lang w:val="en-US" w:eastAsia="zh-CN"/>
        </w:rPr>
        <w:t>迅速</w:t>
      </w:r>
      <w:r>
        <w:rPr>
          <w:rFonts w:hint="eastAsia" w:ascii="仿宋" w:hAnsi="仿宋" w:eastAsia="仿宋"/>
          <w:sz w:val="32"/>
          <w:szCs w:val="32"/>
        </w:rPr>
        <w:t>，并在各行各业进行了广泛的应用，使得系统的扩展性、灵活性、先进性、科学性得到进一步提升，进而促进各</w:t>
      </w:r>
      <w:r>
        <w:rPr>
          <w:rFonts w:hint="eastAsia" w:ascii="仿宋" w:hAnsi="仿宋" w:eastAsia="仿宋"/>
          <w:sz w:val="32"/>
          <w:szCs w:val="32"/>
          <w:lang w:val="en-US" w:eastAsia="zh-CN"/>
        </w:rPr>
        <w:t>行业</w:t>
      </w:r>
      <w:r>
        <w:rPr>
          <w:rFonts w:hint="eastAsia" w:ascii="仿宋" w:hAnsi="仿宋" w:eastAsia="仿宋"/>
          <w:sz w:val="32"/>
          <w:szCs w:val="32"/>
        </w:rPr>
        <w:t>业务效能、服务效能、管理效能取得明显的进步，因此充分研究新型技术发展实践，使这些新技术与住房公积金信息化发展广泛融合，创新应用、提升服务、强化管理，向数字化、智能化转型势在必行。</w:t>
      </w:r>
    </w:p>
    <w:p w14:paraId="3F85C029">
      <w:pPr>
        <w:spacing w:line="720" w:lineRule="exact"/>
        <w:ind w:firstLine="640" w:firstLineChars="200"/>
        <w:rPr>
          <w:rFonts w:ascii="黑体" w:hAnsi="黑体" w:eastAsia="黑体"/>
          <w:sz w:val="32"/>
          <w:szCs w:val="32"/>
        </w:rPr>
      </w:pPr>
      <w:r>
        <w:rPr>
          <w:rFonts w:hint="eastAsia" w:ascii="黑体" w:hAnsi="黑体" w:eastAsia="黑体"/>
          <w:sz w:val="32"/>
          <w:szCs w:val="32"/>
        </w:rPr>
        <w:t>三、建设目标</w:t>
      </w:r>
    </w:p>
    <w:p w14:paraId="34354536">
      <w:pPr>
        <w:spacing w:line="720" w:lineRule="exact"/>
        <w:ind w:firstLine="640" w:firstLineChars="200"/>
        <w:rPr>
          <w:rFonts w:ascii="仿宋" w:hAnsi="仿宋" w:eastAsia="仿宋"/>
          <w:sz w:val="32"/>
          <w:szCs w:val="32"/>
        </w:rPr>
      </w:pPr>
      <w:r>
        <w:rPr>
          <w:rFonts w:hint="eastAsia" w:ascii="仿宋" w:hAnsi="仿宋" w:eastAsia="仿宋"/>
          <w:sz w:val="32"/>
          <w:szCs w:val="32"/>
        </w:rPr>
        <w:t>中心始终坚持“房住不炒”定位，落实租购并举要求，以满足缴存职工住房需求为根本出发点，秉持数字政府创新引领、数据赋能和服务高效的理念，坚持系统观念和一体化发展方向，充分利用区块链、大数据、人工智能等新技术，按照“技术赋能、数字赋智”的思路，建设“智慧公积金”，形成聚合效应，发挥整体优势，推动三门峡市住房公积金数字化转型，促进业务、服务、管理能力提升，促进三门峡市住房公积金事业高质量发展。</w:t>
      </w:r>
    </w:p>
    <w:p w14:paraId="15CBF7B8">
      <w:pPr>
        <w:spacing w:line="720" w:lineRule="exact"/>
        <w:ind w:firstLine="640" w:firstLineChars="200"/>
        <w:rPr>
          <w:rFonts w:ascii="仿宋" w:hAnsi="仿宋" w:eastAsia="仿宋"/>
          <w:sz w:val="32"/>
          <w:szCs w:val="32"/>
        </w:rPr>
      </w:pPr>
      <w:r>
        <w:rPr>
          <w:rFonts w:hint="eastAsia" w:ascii="仿宋" w:hAnsi="仿宋" w:eastAsia="仿宋"/>
          <w:sz w:val="32"/>
          <w:szCs w:val="32"/>
        </w:rPr>
        <w:t>为保障数字化建设有序进行，</w:t>
      </w:r>
      <w:r>
        <w:rPr>
          <w:rFonts w:hint="eastAsia" w:ascii="仿宋" w:hAnsi="仿宋" w:eastAsia="仿宋"/>
          <w:sz w:val="32"/>
          <w:szCs w:val="32"/>
          <w:lang w:eastAsia="zh-CN"/>
        </w:rPr>
        <w:t>中心成立了以</w:t>
      </w:r>
      <w:r>
        <w:rPr>
          <w:rFonts w:hint="eastAsia" w:ascii="仿宋" w:hAnsi="仿宋" w:eastAsia="仿宋"/>
          <w:sz w:val="32"/>
          <w:szCs w:val="32"/>
        </w:rPr>
        <w:t>中心主任为数字化发展第一责任人</w:t>
      </w:r>
      <w:r>
        <w:rPr>
          <w:rFonts w:hint="eastAsia" w:ascii="仿宋" w:hAnsi="仿宋" w:eastAsia="仿宋"/>
          <w:sz w:val="32"/>
          <w:szCs w:val="32"/>
          <w:lang w:eastAsia="zh-CN"/>
        </w:rPr>
        <w:t>、</w:t>
      </w:r>
      <w:r>
        <w:rPr>
          <w:rFonts w:hint="eastAsia" w:ascii="仿宋" w:hAnsi="仿宋" w:eastAsia="仿宋"/>
          <w:sz w:val="32"/>
          <w:szCs w:val="32"/>
        </w:rPr>
        <w:t>中心分管主任为分管责任人</w:t>
      </w:r>
      <w:r>
        <w:rPr>
          <w:rFonts w:hint="eastAsia" w:ascii="仿宋" w:hAnsi="仿宋" w:eastAsia="仿宋"/>
          <w:sz w:val="32"/>
          <w:szCs w:val="32"/>
          <w:lang w:eastAsia="zh-CN"/>
        </w:rPr>
        <w:t>、</w:t>
      </w:r>
      <w:r>
        <w:rPr>
          <w:rFonts w:hint="eastAsia" w:ascii="仿宋" w:hAnsi="仿宋" w:eastAsia="仿宋"/>
          <w:sz w:val="32"/>
          <w:szCs w:val="32"/>
        </w:rPr>
        <w:t>技术服务科负责人为具体责任人</w:t>
      </w:r>
      <w:r>
        <w:rPr>
          <w:rFonts w:hint="eastAsia" w:ascii="仿宋" w:hAnsi="仿宋" w:eastAsia="仿宋"/>
          <w:sz w:val="32"/>
          <w:szCs w:val="32"/>
          <w:lang w:eastAsia="zh-CN"/>
        </w:rPr>
        <w:t>的数字化工作领导小组，</w:t>
      </w:r>
      <w:r>
        <w:rPr>
          <w:rFonts w:hint="eastAsia" w:ascii="仿宋" w:hAnsi="仿宋" w:eastAsia="仿宋"/>
          <w:sz w:val="32"/>
          <w:szCs w:val="32"/>
        </w:rPr>
        <w:t>中心相关业务科室及各营业部</w:t>
      </w:r>
      <w:r>
        <w:rPr>
          <w:rFonts w:hint="eastAsia" w:ascii="仿宋" w:hAnsi="仿宋" w:eastAsia="仿宋"/>
          <w:sz w:val="32"/>
          <w:szCs w:val="32"/>
          <w:lang w:eastAsia="zh-CN"/>
        </w:rPr>
        <w:t>、</w:t>
      </w:r>
      <w:r>
        <w:rPr>
          <w:rFonts w:hint="eastAsia" w:ascii="仿宋" w:hAnsi="仿宋" w:eastAsia="仿宋"/>
          <w:sz w:val="32"/>
          <w:szCs w:val="32"/>
        </w:rPr>
        <w:t>管理部</w:t>
      </w:r>
      <w:r>
        <w:rPr>
          <w:rFonts w:hint="eastAsia" w:ascii="仿宋" w:hAnsi="仿宋" w:eastAsia="仿宋"/>
          <w:sz w:val="32"/>
          <w:szCs w:val="32"/>
          <w:lang w:eastAsia="zh-CN"/>
        </w:rPr>
        <w:t>负责人为领导小组成员，负责配合数字化工作的实施</w:t>
      </w:r>
      <w:r>
        <w:rPr>
          <w:rFonts w:hint="eastAsia" w:ascii="仿宋" w:hAnsi="仿宋" w:eastAsia="仿宋"/>
          <w:sz w:val="32"/>
          <w:szCs w:val="32"/>
        </w:rPr>
        <w:t>。</w:t>
      </w:r>
    </w:p>
    <w:p w14:paraId="4703E34D">
      <w:pPr>
        <w:spacing w:line="720" w:lineRule="exact"/>
        <w:ind w:firstLine="640" w:firstLineChars="200"/>
        <w:rPr>
          <w:rFonts w:ascii="黑体" w:hAnsi="黑体" w:eastAsia="黑体"/>
          <w:sz w:val="32"/>
          <w:szCs w:val="32"/>
        </w:rPr>
      </w:pPr>
      <w:r>
        <w:rPr>
          <w:rFonts w:hint="eastAsia" w:ascii="黑体" w:hAnsi="黑体" w:eastAsia="黑体"/>
          <w:sz w:val="32"/>
          <w:szCs w:val="32"/>
        </w:rPr>
        <w:t>四、建设内容</w:t>
      </w:r>
    </w:p>
    <w:p w14:paraId="1DB9FD0E">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（一） 掌上不见面服务系统（包括归集、提取、贷款办理及贷款签约）</w:t>
      </w:r>
    </w:p>
    <w:p w14:paraId="73E578E5">
      <w:pPr>
        <w:spacing w:line="720" w:lineRule="exact"/>
        <w:ind w:firstLine="640" w:firstLineChars="200"/>
        <w:rPr>
          <w:rFonts w:ascii="仿宋" w:hAnsi="仿宋" w:eastAsia="仿宋"/>
          <w:sz w:val="32"/>
          <w:szCs w:val="32"/>
        </w:rPr>
      </w:pPr>
      <w:r>
        <w:rPr>
          <w:rFonts w:hint="eastAsia" w:ascii="仿宋" w:hAnsi="仿宋" w:eastAsia="仿宋"/>
          <w:sz w:val="32"/>
          <w:szCs w:val="32"/>
        </w:rPr>
        <w:t>为</w:t>
      </w:r>
      <w:r>
        <w:rPr>
          <w:rFonts w:hint="eastAsia" w:ascii="仿宋" w:hAnsi="仿宋" w:eastAsia="仿宋"/>
          <w:sz w:val="32"/>
          <w:szCs w:val="32"/>
          <w:lang w:eastAsia="zh-CN"/>
        </w:rPr>
        <w:t>进一步</w:t>
      </w:r>
      <w:r>
        <w:rPr>
          <w:rFonts w:hint="eastAsia" w:ascii="仿宋" w:hAnsi="仿宋" w:eastAsia="仿宋"/>
          <w:sz w:val="32"/>
          <w:szCs w:val="32"/>
        </w:rPr>
        <w:t>方便客户办理业务，提升中心对外服务良好形象，</w:t>
      </w:r>
      <w:r>
        <w:rPr>
          <w:rFonts w:hint="eastAsia" w:ascii="仿宋" w:hAnsi="仿宋" w:eastAsia="仿宋"/>
          <w:sz w:val="32"/>
          <w:szCs w:val="32"/>
          <w:lang w:eastAsia="zh-CN"/>
        </w:rPr>
        <w:t>中心拟建立掌上不见面服务系统，</w:t>
      </w:r>
      <w:r>
        <w:rPr>
          <w:rFonts w:hint="eastAsia" w:ascii="仿宋" w:hAnsi="仿宋" w:eastAsia="仿宋"/>
          <w:sz w:val="32"/>
          <w:szCs w:val="32"/>
        </w:rPr>
        <w:t>逐步实现从网上可办转向掌上可办。</w:t>
      </w:r>
    </w:p>
    <w:p w14:paraId="0639673A">
      <w:pPr>
        <w:spacing w:line="720" w:lineRule="exact"/>
        <w:ind w:firstLine="640" w:firstLineChars="200"/>
        <w:rPr>
          <w:rFonts w:ascii="仿宋" w:hAnsi="仿宋" w:eastAsia="仿宋"/>
          <w:sz w:val="32"/>
          <w:szCs w:val="32"/>
        </w:rPr>
      </w:pPr>
      <w:r>
        <w:rPr>
          <w:rFonts w:hint="eastAsia" w:ascii="仿宋" w:hAnsi="仿宋" w:eastAsia="仿宋"/>
          <w:sz w:val="32"/>
          <w:szCs w:val="32"/>
        </w:rPr>
        <w:t>掌上不见面服务</w:t>
      </w:r>
      <w:r>
        <w:rPr>
          <w:rFonts w:hint="eastAsia" w:ascii="仿宋" w:hAnsi="仿宋" w:eastAsia="仿宋"/>
          <w:sz w:val="32"/>
          <w:szCs w:val="32"/>
          <w:lang w:eastAsia="zh-CN"/>
        </w:rPr>
        <w:t>系统可</w:t>
      </w:r>
      <w:r>
        <w:rPr>
          <w:rFonts w:hint="eastAsia" w:ascii="仿宋" w:hAnsi="仿宋" w:eastAsia="仿宋"/>
          <w:sz w:val="32"/>
          <w:szCs w:val="32"/>
        </w:rPr>
        <w:t>通过数据共享机制实现多部门的数据自动采集与联办，打造数据多跑路、群众少跑腿的应用场景；通过智能填单、电子单据流转机制实现用户少交材料、少填表，节约用户准备材料</w:t>
      </w:r>
      <w:r>
        <w:rPr>
          <w:rFonts w:hint="eastAsia" w:ascii="仿宋" w:hAnsi="仿宋" w:eastAsia="仿宋"/>
          <w:sz w:val="32"/>
          <w:szCs w:val="32"/>
          <w:lang w:val="en-US" w:eastAsia="zh-CN"/>
        </w:rPr>
        <w:t>及</w:t>
      </w:r>
      <w:r>
        <w:rPr>
          <w:rFonts w:hint="eastAsia" w:ascii="仿宋" w:hAnsi="仿宋" w:eastAsia="仿宋"/>
          <w:sz w:val="32"/>
          <w:szCs w:val="32"/>
        </w:rPr>
        <w:t>填单时间；通过智能集中审批机制实现业务随机审批，缩短业务审批时间并减少业务办理中的人工风险，提升中心服务效能；通过在线视频签约实现用户远程在线合同签订，满足用户签约不跑路的需求，同时降低中心纸质合同管理的办公耗材、物理空间、人员管理成本。</w:t>
      </w:r>
    </w:p>
    <w:p w14:paraId="6E851B8F">
      <w:pPr>
        <w:spacing w:line="720" w:lineRule="exact"/>
        <w:ind w:firstLine="640" w:firstLineChars="200"/>
        <w:rPr>
          <w:rFonts w:ascii="仿宋" w:hAnsi="仿宋" w:eastAsia="仿宋"/>
          <w:sz w:val="32"/>
          <w:szCs w:val="32"/>
        </w:rPr>
      </w:pPr>
      <w:r>
        <w:rPr>
          <w:rFonts w:hint="eastAsia" w:ascii="仿宋" w:hAnsi="仿宋" w:eastAsia="仿宋"/>
          <w:sz w:val="32"/>
          <w:szCs w:val="32"/>
        </w:rPr>
        <w:t>掌上不见面服务可以实现业务受理减材料、减环节、减条件，有效缩短业务办理时间，减轻从业人员负担，打造新型业务受理模式以及科学档案管理，实现指尖上的公积金业务办理模式。</w:t>
      </w:r>
    </w:p>
    <w:p w14:paraId="332DDB9B">
      <w:pPr>
        <w:spacing w:line="720" w:lineRule="exact"/>
        <w:ind w:firstLine="640" w:firstLineChars="200"/>
        <w:rPr>
          <w:rFonts w:ascii="仿宋" w:hAnsi="仿宋" w:eastAsia="仿宋"/>
          <w:sz w:val="32"/>
          <w:szCs w:val="32"/>
        </w:rPr>
      </w:pPr>
      <w:r>
        <w:rPr>
          <w:rFonts w:hint="eastAsia" w:ascii="仿宋" w:hAnsi="仿宋" w:eastAsia="仿宋"/>
          <w:sz w:val="32"/>
          <w:szCs w:val="32"/>
        </w:rPr>
        <w:t>其中，归集业务以电子签章系统为基础，开发手机数字证书认证模块，单位经办人在手机上下载注册证书后，即可通过中心微信公众号办理归集相关业务，计划2025年实施。</w:t>
      </w:r>
    </w:p>
    <w:p w14:paraId="4B872B07">
      <w:pPr>
        <w:spacing w:line="720" w:lineRule="exact"/>
        <w:ind w:firstLine="640" w:firstLineChars="200"/>
        <w:rPr>
          <w:rFonts w:ascii="仿宋" w:hAnsi="仿宋" w:eastAsia="仿宋"/>
          <w:sz w:val="32"/>
          <w:szCs w:val="32"/>
        </w:rPr>
      </w:pPr>
      <w:r>
        <w:rPr>
          <w:rFonts w:hint="eastAsia" w:ascii="仿宋" w:hAnsi="仿宋" w:eastAsia="仿宋"/>
          <w:sz w:val="32"/>
          <w:szCs w:val="32"/>
        </w:rPr>
        <w:t>提取业务在微信公众号可办全部</w:t>
      </w:r>
      <w:r>
        <w:rPr>
          <w:rFonts w:hint="eastAsia" w:ascii="仿宋" w:hAnsi="仿宋" w:eastAsia="仿宋"/>
          <w:sz w:val="32"/>
          <w:szCs w:val="32"/>
          <w:lang w:val="en-US" w:eastAsia="zh-CN"/>
        </w:rPr>
        <w:t>事项</w:t>
      </w:r>
      <w:r>
        <w:rPr>
          <w:rFonts w:hint="eastAsia" w:ascii="仿宋" w:hAnsi="仿宋" w:eastAsia="仿宋"/>
          <w:sz w:val="32"/>
          <w:szCs w:val="32"/>
        </w:rPr>
        <w:t>，通过数据共享可以查实的，</w:t>
      </w:r>
      <w:r>
        <w:rPr>
          <w:rFonts w:hint="eastAsia" w:ascii="仿宋" w:hAnsi="仿宋" w:eastAsia="仿宋"/>
          <w:sz w:val="32"/>
          <w:szCs w:val="32"/>
          <w:lang w:val="en-US" w:eastAsia="zh-CN"/>
        </w:rPr>
        <w:t>系统</w:t>
      </w:r>
      <w:r>
        <w:rPr>
          <w:rFonts w:hint="eastAsia" w:ascii="仿宋" w:hAnsi="仿宋" w:eastAsia="仿宋"/>
          <w:sz w:val="32"/>
          <w:szCs w:val="32"/>
        </w:rPr>
        <w:t>自动审批、自动办结；需要人工审核的，优化操作界面，减少提交材料，简化审批流程</w:t>
      </w:r>
      <w:r>
        <w:rPr>
          <w:rFonts w:hint="eastAsia" w:ascii="仿宋" w:hAnsi="仿宋" w:eastAsia="仿宋"/>
          <w:sz w:val="32"/>
          <w:szCs w:val="32"/>
          <w:lang w:eastAsia="zh-CN"/>
        </w:rPr>
        <w:t>，计划</w:t>
      </w:r>
      <w:r>
        <w:rPr>
          <w:rFonts w:hint="eastAsia" w:ascii="仿宋" w:hAnsi="仿宋" w:eastAsia="仿宋"/>
          <w:sz w:val="32"/>
          <w:szCs w:val="32"/>
          <w:lang w:val="en-US" w:eastAsia="zh-CN"/>
        </w:rPr>
        <w:t>2023</w:t>
      </w:r>
      <w:r>
        <w:rPr>
          <w:rFonts w:hint="eastAsia" w:ascii="仿宋" w:hAnsi="仿宋" w:eastAsia="仿宋"/>
          <w:sz w:val="32"/>
          <w:szCs w:val="32"/>
        </w:rPr>
        <w:t>年完成。</w:t>
      </w:r>
    </w:p>
    <w:p w14:paraId="1E821C62">
      <w:pPr>
        <w:spacing w:line="720" w:lineRule="exact"/>
        <w:ind w:firstLine="640" w:firstLineChars="200"/>
        <w:rPr>
          <w:rFonts w:ascii="仿宋" w:hAnsi="仿宋" w:eastAsia="仿宋"/>
          <w:sz w:val="32"/>
          <w:szCs w:val="32"/>
        </w:rPr>
      </w:pPr>
      <w:r>
        <w:rPr>
          <w:rFonts w:hint="eastAsia" w:ascii="仿宋" w:hAnsi="仿宋" w:eastAsia="仿宋"/>
          <w:sz w:val="32"/>
          <w:szCs w:val="32"/>
        </w:rPr>
        <w:t>商品房和二手房贷款申请业务可在微信公众号办理，同时建设掌上面签系统，客户在手机上进行贷款申请后，可同步进行贷款面签流程，减少贷款办理时限，提高审批效率。计划2024年实施。</w:t>
      </w:r>
    </w:p>
    <w:p w14:paraId="7865C22F">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（二）稽核审计系统（覆盖住建部电子稽查工具、审计署审计规则、公积金中心自建规则）</w:t>
      </w:r>
    </w:p>
    <w:p w14:paraId="2FA579A4">
      <w:pPr>
        <w:spacing w:line="720" w:lineRule="exact"/>
        <w:ind w:firstLine="640" w:firstLineChars="200"/>
        <w:rPr>
          <w:rFonts w:ascii="仿宋" w:hAnsi="仿宋" w:eastAsia="仿宋"/>
          <w:sz w:val="32"/>
          <w:szCs w:val="32"/>
        </w:rPr>
      </w:pPr>
      <w:r>
        <w:rPr>
          <w:rFonts w:hint="eastAsia" w:ascii="仿宋" w:hAnsi="仿宋" w:eastAsia="仿宋"/>
          <w:sz w:val="32"/>
          <w:szCs w:val="32"/>
        </w:rPr>
        <w:t>稽核审计工作是中心风险核查、风险防控的重要手段，近年来，随着中心业务的高速发展，稽核内容不断</w:t>
      </w:r>
      <w:r>
        <w:rPr>
          <w:rFonts w:hint="eastAsia" w:ascii="仿宋" w:hAnsi="仿宋" w:eastAsia="仿宋"/>
          <w:sz w:val="32"/>
          <w:szCs w:val="32"/>
          <w:lang w:val="en-US" w:eastAsia="zh-CN"/>
        </w:rPr>
        <w:t>拓</w:t>
      </w:r>
      <w:r>
        <w:rPr>
          <w:rFonts w:hint="eastAsia" w:ascii="仿宋" w:hAnsi="仿宋" w:eastAsia="仿宋"/>
          <w:sz w:val="32"/>
          <w:szCs w:val="32"/>
        </w:rPr>
        <w:t>宽，信息时代下电子化稽核已经不可或缺。</w:t>
      </w:r>
    </w:p>
    <w:p w14:paraId="5DF9CC36">
      <w:pPr>
        <w:spacing w:line="720" w:lineRule="exact"/>
        <w:ind w:firstLine="640" w:firstLineChars="200"/>
        <w:rPr>
          <w:rFonts w:ascii="仿宋" w:hAnsi="仿宋" w:eastAsia="仿宋"/>
          <w:sz w:val="32"/>
          <w:szCs w:val="32"/>
        </w:rPr>
      </w:pPr>
      <w:r>
        <w:rPr>
          <w:rFonts w:hint="eastAsia" w:ascii="仿宋" w:hAnsi="仿宋" w:eastAsia="仿宋"/>
          <w:sz w:val="32"/>
          <w:szCs w:val="32"/>
        </w:rPr>
        <w:t>构建稽核审计系统，就是要提供业务信息、规则信息、事件信息等多角度、多维度分析，清晰反馈业务风险全貌；要以稽核审计为中心，以包括住建部及省住建厅电子双查、国家审计部门的审计要素和中心自定义检查项在内的近300项风控模型为基础，以嵌入业务流程和系统底层的方式，对风险事件进行综合管理和审计，帮助中心进行内部整改，以达到风险防控和内部管理要求。</w:t>
      </w:r>
    </w:p>
    <w:p w14:paraId="2749F0C4">
      <w:pPr>
        <w:spacing w:line="720" w:lineRule="exact"/>
        <w:ind w:firstLine="640" w:firstLineChars="200"/>
        <w:rPr>
          <w:rFonts w:ascii="仿宋" w:hAnsi="仿宋" w:eastAsia="仿宋"/>
          <w:sz w:val="32"/>
          <w:szCs w:val="32"/>
        </w:rPr>
      </w:pPr>
      <w:r>
        <w:rPr>
          <w:rFonts w:hint="eastAsia" w:ascii="仿宋" w:hAnsi="仿宋" w:eastAsia="仿宋"/>
          <w:sz w:val="32"/>
          <w:szCs w:val="32"/>
        </w:rPr>
        <w:t>稽核审计系统能够增强风险管理工作的主动性、先进性、全面性，</w:t>
      </w:r>
      <w:r>
        <w:rPr>
          <w:rFonts w:hint="eastAsia" w:ascii="仿宋" w:hAnsi="仿宋" w:eastAsia="仿宋"/>
          <w:sz w:val="32"/>
          <w:szCs w:val="32"/>
          <w:lang w:eastAsia="zh-CN"/>
        </w:rPr>
        <w:t>其</w:t>
      </w:r>
      <w:r>
        <w:rPr>
          <w:rFonts w:hint="eastAsia" w:ascii="仿宋" w:hAnsi="仿宋" w:eastAsia="仿宋"/>
          <w:sz w:val="32"/>
          <w:szCs w:val="32"/>
        </w:rPr>
        <w:t>以严格的业务事前授权管理为前提、全面的事中控制为核心、完善的事后监督为补充，</w:t>
      </w:r>
      <w:r>
        <w:rPr>
          <w:rFonts w:hint="eastAsia" w:ascii="仿宋" w:hAnsi="仿宋" w:eastAsia="仿宋"/>
          <w:sz w:val="32"/>
          <w:szCs w:val="32"/>
          <w:lang w:eastAsia="zh-CN"/>
        </w:rPr>
        <w:t>能够</w:t>
      </w:r>
      <w:r>
        <w:rPr>
          <w:rFonts w:hint="eastAsia" w:ascii="仿宋" w:hAnsi="仿宋" w:eastAsia="仿宋"/>
          <w:sz w:val="32"/>
          <w:szCs w:val="32"/>
        </w:rPr>
        <w:t>全面实现对业务风险的识别、计量、监测和控制，强化中心对系统风险和操作风险的控制，满足中心风险控制一体化管理要求，提高风险管理信息化、精细化水平。</w:t>
      </w:r>
    </w:p>
    <w:p w14:paraId="3B4967F1">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（三）数据共享管控系统</w:t>
      </w:r>
    </w:p>
    <w:p w14:paraId="02ABAA84">
      <w:pPr>
        <w:spacing w:line="720" w:lineRule="exact"/>
        <w:ind w:firstLine="640" w:firstLineChars="200"/>
        <w:rPr>
          <w:rFonts w:ascii="仿宋" w:hAnsi="仿宋" w:eastAsia="仿宋"/>
          <w:sz w:val="32"/>
          <w:szCs w:val="32"/>
        </w:rPr>
      </w:pPr>
      <w:r>
        <w:rPr>
          <w:rFonts w:hint="eastAsia" w:ascii="仿宋" w:hAnsi="仿宋" w:eastAsia="仿宋"/>
          <w:sz w:val="32"/>
          <w:szCs w:val="32"/>
        </w:rPr>
        <w:t>在国家推进数字政府建设的背景下，中心</w:t>
      </w:r>
      <w:r>
        <w:rPr>
          <w:rFonts w:hint="eastAsia" w:ascii="仿宋" w:hAnsi="仿宋" w:eastAsia="仿宋"/>
          <w:sz w:val="32"/>
          <w:szCs w:val="32"/>
          <w:lang w:eastAsia="zh-CN"/>
        </w:rPr>
        <w:t>需积极推动</w:t>
      </w:r>
      <w:r>
        <w:rPr>
          <w:rFonts w:hint="eastAsia" w:ascii="仿宋" w:hAnsi="仿宋" w:eastAsia="仿宋"/>
          <w:sz w:val="32"/>
          <w:szCs w:val="32"/>
        </w:rPr>
        <w:t>与其他部门之间的数据共享与业务协作</w:t>
      </w:r>
      <w:r>
        <w:rPr>
          <w:rFonts w:hint="eastAsia" w:ascii="仿宋" w:hAnsi="仿宋" w:eastAsia="仿宋"/>
          <w:sz w:val="32"/>
          <w:szCs w:val="32"/>
          <w:lang w:eastAsia="zh-CN"/>
        </w:rPr>
        <w:t>，</w:t>
      </w:r>
      <w:r>
        <w:rPr>
          <w:rFonts w:hint="eastAsia" w:ascii="仿宋" w:hAnsi="仿宋" w:eastAsia="仿宋"/>
          <w:sz w:val="32"/>
          <w:szCs w:val="32"/>
          <w:lang w:val="en-US" w:eastAsia="zh-CN"/>
        </w:rPr>
        <w:t>为</w:t>
      </w:r>
      <w:r>
        <w:rPr>
          <w:rFonts w:hint="eastAsia" w:ascii="仿宋" w:hAnsi="仿宋" w:eastAsia="仿宋"/>
          <w:sz w:val="32"/>
          <w:szCs w:val="32"/>
        </w:rPr>
        <w:t>数字化建设</w:t>
      </w:r>
      <w:r>
        <w:rPr>
          <w:rFonts w:hint="eastAsia" w:ascii="仿宋" w:hAnsi="仿宋" w:eastAsia="仿宋"/>
          <w:sz w:val="32"/>
          <w:szCs w:val="32"/>
          <w:lang w:val="en-US" w:eastAsia="zh-CN"/>
        </w:rPr>
        <w:t>打下良好基础</w:t>
      </w:r>
      <w:r>
        <w:rPr>
          <w:rFonts w:hint="eastAsia" w:ascii="仿宋" w:hAnsi="仿宋" w:eastAsia="仿宋"/>
          <w:sz w:val="32"/>
          <w:szCs w:val="32"/>
          <w:lang w:eastAsia="zh-CN"/>
        </w:rPr>
        <w:t>。</w:t>
      </w:r>
      <w:r>
        <w:rPr>
          <w:rFonts w:hint="eastAsia" w:ascii="仿宋" w:hAnsi="仿宋" w:eastAsia="仿宋"/>
          <w:sz w:val="32"/>
          <w:szCs w:val="32"/>
        </w:rPr>
        <w:t>但从技术层面来讲，与外部数据共享工作呈网状结构进行数据对接和管控，无统一的接口及数据管控平台对其进行管理，不利于中心工作</w:t>
      </w:r>
      <w:r>
        <w:rPr>
          <w:rFonts w:hint="eastAsia" w:ascii="仿宋" w:hAnsi="仿宋" w:eastAsia="仿宋"/>
          <w:sz w:val="32"/>
          <w:szCs w:val="32"/>
          <w:lang w:val="en-US" w:eastAsia="zh-CN"/>
        </w:rPr>
        <w:t>的</w:t>
      </w:r>
      <w:r>
        <w:rPr>
          <w:rFonts w:hint="eastAsia" w:ascii="仿宋" w:hAnsi="仿宋" w:eastAsia="仿宋"/>
          <w:sz w:val="32"/>
          <w:szCs w:val="32"/>
        </w:rPr>
        <w:t>开展。</w:t>
      </w:r>
    </w:p>
    <w:p w14:paraId="2CDE22BB">
      <w:pPr>
        <w:spacing w:line="720" w:lineRule="exact"/>
        <w:ind w:firstLine="640" w:firstLineChars="200"/>
        <w:rPr>
          <w:rFonts w:ascii="仿宋" w:hAnsi="仿宋" w:eastAsia="仿宋"/>
          <w:sz w:val="32"/>
          <w:szCs w:val="32"/>
        </w:rPr>
      </w:pPr>
      <w:r>
        <w:rPr>
          <w:rFonts w:hint="eastAsia" w:ascii="仿宋" w:hAnsi="仿宋" w:eastAsia="仿宋"/>
          <w:sz w:val="32"/>
          <w:szCs w:val="32"/>
        </w:rPr>
        <w:t>建设统一的数据共享管控系统，可以实现统一数据交换和服务集成</w:t>
      </w:r>
      <w:r>
        <w:rPr>
          <w:rFonts w:hint="eastAsia" w:ascii="仿宋" w:hAnsi="仿宋" w:eastAsia="仿宋"/>
          <w:sz w:val="32"/>
          <w:szCs w:val="32"/>
          <w:lang w:eastAsia="zh-CN"/>
        </w:rPr>
        <w:t>。</w:t>
      </w:r>
      <w:r>
        <w:rPr>
          <w:rFonts w:hint="eastAsia" w:ascii="仿宋" w:hAnsi="仿宋" w:eastAsia="仿宋"/>
          <w:sz w:val="32"/>
          <w:szCs w:val="32"/>
        </w:rPr>
        <w:t>数据共享管控系统具备规范化数据传输标准，中心各业务管理系统产生的数据与其他单位数据之间的访问及交换均通过该系统实现，可确保数据进出口统一，满足数据交换信息系统的可维护性及可扩展性要求。</w:t>
      </w:r>
    </w:p>
    <w:p w14:paraId="0892F326">
      <w:pPr>
        <w:spacing w:line="720" w:lineRule="exact"/>
        <w:ind w:firstLine="640" w:firstLineChars="200"/>
        <w:rPr>
          <w:rFonts w:ascii="仿宋" w:hAnsi="仿宋" w:eastAsia="仿宋"/>
          <w:sz w:val="32"/>
          <w:szCs w:val="32"/>
        </w:rPr>
      </w:pPr>
      <w:r>
        <w:rPr>
          <w:rFonts w:hint="eastAsia" w:ascii="仿宋" w:hAnsi="仿宋" w:eastAsia="仿宋"/>
          <w:sz w:val="32"/>
          <w:szCs w:val="32"/>
        </w:rPr>
        <w:t>通过数据共享管控系统，可以实现对中心所有数据资源以及数据进出口径的统一管理，满足中心全景数据管理、快速数据交换、安全数据输出、数据共享管理以及数据权限的需求，实现数据安全、便捷、高效共享。</w:t>
      </w:r>
    </w:p>
    <w:p w14:paraId="792E5400">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（四）移动办公系统(支持中心端业务移动办公、智能审批)</w:t>
      </w:r>
    </w:p>
    <w:p w14:paraId="6622F695">
      <w:pPr>
        <w:spacing w:line="720" w:lineRule="exact"/>
        <w:ind w:firstLine="640" w:firstLineChars="200"/>
        <w:rPr>
          <w:rFonts w:ascii="仿宋" w:hAnsi="仿宋" w:eastAsia="仿宋"/>
          <w:sz w:val="32"/>
          <w:szCs w:val="32"/>
        </w:rPr>
      </w:pPr>
      <w:r>
        <w:rPr>
          <w:rFonts w:hint="eastAsia" w:ascii="仿宋" w:hAnsi="仿宋" w:eastAsia="仿宋"/>
          <w:sz w:val="32"/>
          <w:szCs w:val="32"/>
        </w:rPr>
        <w:t>随着移动互联网技术的发展，基于移动互联网的应用为政务服务提供了便利，公积金用户可以通过中心提供的线上服务渠道进行自助业务办理</w:t>
      </w:r>
      <w:r>
        <w:rPr>
          <w:rFonts w:hint="eastAsia" w:ascii="仿宋" w:hAnsi="仿宋" w:eastAsia="仿宋"/>
          <w:sz w:val="32"/>
          <w:szCs w:val="32"/>
          <w:lang w:eastAsia="zh-CN"/>
        </w:rPr>
        <w:t>。</w:t>
      </w:r>
      <w:r>
        <w:rPr>
          <w:rFonts w:hint="eastAsia" w:ascii="仿宋" w:hAnsi="仿宋" w:eastAsia="仿宋"/>
          <w:sz w:val="32"/>
          <w:szCs w:val="32"/>
        </w:rPr>
        <w:t>同时</w:t>
      </w:r>
      <w:r>
        <w:rPr>
          <w:rFonts w:hint="eastAsia" w:ascii="仿宋" w:hAnsi="仿宋" w:eastAsia="仿宋"/>
          <w:sz w:val="32"/>
          <w:szCs w:val="32"/>
          <w:lang w:eastAsia="zh-CN"/>
        </w:rPr>
        <w:t>中心</w:t>
      </w:r>
      <w:r>
        <w:rPr>
          <w:rFonts w:hint="eastAsia" w:ascii="仿宋" w:hAnsi="仿宋" w:eastAsia="仿宋"/>
          <w:sz w:val="32"/>
          <w:szCs w:val="32"/>
        </w:rPr>
        <w:t>也可将面向用户的移动应用拓展为面向中心的内部管理，即将移动办公系统应用于中心内部管理，</w:t>
      </w:r>
      <w:r>
        <w:rPr>
          <w:rFonts w:hint="eastAsia" w:ascii="仿宋" w:hAnsi="仿宋" w:eastAsia="仿宋"/>
          <w:sz w:val="32"/>
          <w:szCs w:val="32"/>
          <w:lang w:val="en-US" w:eastAsia="zh-CN"/>
        </w:rPr>
        <w:t>推动</w:t>
      </w:r>
      <w:r>
        <w:rPr>
          <w:rFonts w:hint="eastAsia" w:ascii="仿宋" w:hAnsi="仿宋" w:eastAsia="仿宋"/>
          <w:sz w:val="32"/>
          <w:szCs w:val="32"/>
        </w:rPr>
        <w:t>中心整体管理效率提升。</w:t>
      </w:r>
    </w:p>
    <w:p w14:paraId="02BB7292">
      <w:pPr>
        <w:spacing w:line="720" w:lineRule="exact"/>
        <w:ind w:firstLine="640" w:firstLineChars="200"/>
        <w:rPr>
          <w:rFonts w:ascii="仿宋" w:hAnsi="仿宋" w:eastAsia="仿宋"/>
          <w:sz w:val="32"/>
          <w:szCs w:val="32"/>
        </w:rPr>
      </w:pPr>
      <w:r>
        <w:rPr>
          <w:rFonts w:hint="eastAsia" w:ascii="仿宋" w:hAnsi="仿宋" w:eastAsia="仿宋"/>
          <w:sz w:val="32"/>
          <w:szCs w:val="32"/>
        </w:rPr>
        <w:t>移动办公系统是中心业务运行、日常办公向移动端的延伸和拓展</w:t>
      </w:r>
      <w:r>
        <w:rPr>
          <w:rFonts w:hint="eastAsia" w:ascii="仿宋" w:hAnsi="仿宋" w:eastAsia="仿宋"/>
          <w:sz w:val="32"/>
          <w:szCs w:val="32"/>
          <w:lang w:eastAsia="zh-CN"/>
        </w:rPr>
        <w:t>。</w:t>
      </w:r>
      <w:r>
        <w:rPr>
          <w:rFonts w:hint="eastAsia" w:ascii="仿宋" w:hAnsi="仿宋" w:eastAsia="仿宋"/>
          <w:sz w:val="32"/>
          <w:szCs w:val="32"/>
        </w:rPr>
        <w:t>该系统借助移动互联技术，以手机等移动设备为载体，面向中心不同的使用场景和需求提供对应的移动功能，主要包括面向领导的移动看板、移动决策、移动绩效、移动审批等模块；面向业务经办人员的移动受理、移动审批；面向运维人员的移动运维等，方便中心工作人员</w:t>
      </w:r>
      <w:r>
        <w:rPr>
          <w:rFonts w:hint="eastAsia" w:ascii="仿宋" w:hAnsi="仿宋" w:eastAsia="仿宋"/>
          <w:sz w:val="32"/>
          <w:szCs w:val="32"/>
          <w:lang w:eastAsia="zh-CN"/>
        </w:rPr>
        <w:t>随时进行</w:t>
      </w:r>
      <w:r>
        <w:rPr>
          <w:rFonts w:hint="eastAsia" w:ascii="仿宋" w:hAnsi="仿宋" w:eastAsia="仿宋"/>
          <w:sz w:val="32"/>
          <w:szCs w:val="32"/>
        </w:rPr>
        <w:t>管理、沟通和业务办理等，为中心管理人、事、财、物、信息、流程等提供移动化办公支撑，提高管理效率，优化业务办理流程。</w:t>
      </w:r>
    </w:p>
    <w:p w14:paraId="197ECCB7">
      <w:pPr>
        <w:spacing w:line="720" w:lineRule="exact"/>
        <w:ind w:firstLine="640" w:firstLineChars="200"/>
        <w:rPr>
          <w:rFonts w:ascii="仿宋" w:hAnsi="仿宋" w:eastAsia="仿宋"/>
          <w:sz w:val="32"/>
          <w:szCs w:val="32"/>
        </w:rPr>
      </w:pPr>
      <w:r>
        <w:rPr>
          <w:rFonts w:hint="eastAsia" w:ascii="仿宋" w:hAnsi="仿宋" w:eastAsia="仿宋"/>
          <w:sz w:val="32"/>
          <w:szCs w:val="32"/>
        </w:rPr>
        <w:t>移动办公系统</w:t>
      </w:r>
      <w:r>
        <w:rPr>
          <w:rFonts w:hint="eastAsia" w:ascii="仿宋" w:hAnsi="仿宋" w:eastAsia="仿宋"/>
          <w:sz w:val="32"/>
          <w:szCs w:val="32"/>
          <w:lang w:eastAsia="zh-CN"/>
        </w:rPr>
        <w:t>还</w:t>
      </w:r>
      <w:r>
        <w:rPr>
          <w:rFonts w:hint="eastAsia" w:ascii="仿宋" w:hAnsi="仿宋" w:eastAsia="仿宋"/>
          <w:sz w:val="32"/>
          <w:szCs w:val="32"/>
        </w:rPr>
        <w:t>可以为用户提供上门服务，</w:t>
      </w:r>
      <w:r>
        <w:rPr>
          <w:rFonts w:hint="eastAsia" w:ascii="仿宋" w:hAnsi="仿宋" w:eastAsia="仿宋"/>
          <w:sz w:val="32"/>
          <w:szCs w:val="32"/>
          <w:lang w:eastAsia="zh-CN"/>
        </w:rPr>
        <w:t>并</w:t>
      </w:r>
      <w:r>
        <w:rPr>
          <w:rFonts w:hint="eastAsia" w:ascii="仿宋" w:hAnsi="仿宋" w:eastAsia="仿宋"/>
          <w:sz w:val="32"/>
          <w:szCs w:val="32"/>
        </w:rPr>
        <w:t>为缴存扩面宣传等特定场景提供支持，提升中心服务能力。</w:t>
      </w:r>
    </w:p>
    <w:p w14:paraId="0A7B83DA">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（五） 完善电子档案系统（符合住建部标准要求）</w:t>
      </w:r>
    </w:p>
    <w:p w14:paraId="28F34689">
      <w:pPr>
        <w:spacing w:line="720" w:lineRule="exact"/>
        <w:ind w:firstLine="640" w:firstLineChars="200"/>
        <w:rPr>
          <w:rFonts w:ascii="仿宋" w:hAnsi="仿宋" w:eastAsia="仿宋"/>
          <w:sz w:val="32"/>
          <w:szCs w:val="32"/>
        </w:rPr>
      </w:pPr>
      <w:r>
        <w:rPr>
          <w:rFonts w:hint="eastAsia" w:ascii="仿宋" w:hAnsi="仿宋" w:eastAsia="仿宋"/>
          <w:sz w:val="32"/>
          <w:szCs w:val="32"/>
        </w:rPr>
        <w:t>近年来，随着信息化技术的日益发展，档案信息化建设工作也在快速推进。在政策层面，2022年8月1日《住房公积金业务档案管理标准》（JGJ/T495-2022）正式发布</w:t>
      </w:r>
      <w:r>
        <w:rPr>
          <w:rFonts w:hint="eastAsia" w:ascii="仿宋" w:hAnsi="仿宋" w:eastAsia="仿宋"/>
          <w:sz w:val="32"/>
          <w:szCs w:val="32"/>
          <w:lang w:eastAsia="zh-CN"/>
        </w:rPr>
        <w:t>并</w:t>
      </w:r>
      <w:r>
        <w:rPr>
          <w:rFonts w:hint="eastAsia" w:ascii="仿宋" w:hAnsi="仿宋" w:eastAsia="仿宋"/>
          <w:sz w:val="32"/>
          <w:szCs w:val="32"/>
        </w:rPr>
        <w:t>要求</w:t>
      </w:r>
      <w:r>
        <w:rPr>
          <w:rFonts w:hint="eastAsia" w:ascii="仿宋" w:hAnsi="仿宋" w:eastAsia="仿宋"/>
          <w:sz w:val="32"/>
          <w:szCs w:val="32"/>
          <w:lang w:eastAsia="zh-CN"/>
        </w:rPr>
        <w:t>于</w:t>
      </w:r>
      <w:r>
        <w:rPr>
          <w:rFonts w:hint="eastAsia" w:ascii="仿宋" w:hAnsi="仿宋" w:eastAsia="仿宋"/>
          <w:sz w:val="32"/>
          <w:szCs w:val="32"/>
        </w:rPr>
        <w:t>2022年12月1日起实施，档案信息系统建设工作势在必行。</w:t>
      </w:r>
    </w:p>
    <w:p w14:paraId="5269BF32">
      <w:pPr>
        <w:spacing w:line="720" w:lineRule="exact"/>
        <w:ind w:firstLine="640" w:firstLineChars="200"/>
        <w:rPr>
          <w:rFonts w:ascii="仿宋" w:hAnsi="仿宋" w:eastAsia="仿宋"/>
          <w:sz w:val="32"/>
          <w:szCs w:val="32"/>
        </w:rPr>
      </w:pPr>
      <w:r>
        <w:rPr>
          <w:rFonts w:hint="eastAsia" w:ascii="仿宋" w:hAnsi="仿宋" w:eastAsia="仿宋"/>
          <w:sz w:val="32"/>
          <w:szCs w:val="32"/>
        </w:rPr>
        <w:t>依据《住房公积金业务档案管理标准》建设的档案管理系统，依托条码技术、标准API、分布式存储、电子签章等基础能力，具备档案收集自动化、分类科学化、查询明细化、利用多元化、操作简单化、管理程序化等功能，为档案提供全生命周期管理，同时为业务系统提供丰富的数据、影像接口，助力实现业务、档案一体化，推动业务</w:t>
      </w:r>
      <w:r>
        <w:rPr>
          <w:rFonts w:hint="eastAsia" w:ascii="仿宋" w:hAnsi="仿宋" w:eastAsia="仿宋"/>
          <w:sz w:val="32"/>
          <w:szCs w:val="32"/>
          <w:lang w:val="en-US" w:eastAsia="zh-CN"/>
        </w:rPr>
        <w:t>办理</w:t>
      </w:r>
      <w:r>
        <w:rPr>
          <w:rFonts w:hint="eastAsia" w:ascii="仿宋" w:hAnsi="仿宋" w:eastAsia="仿宋"/>
          <w:sz w:val="32"/>
          <w:szCs w:val="32"/>
        </w:rPr>
        <w:t>综合柜员制、业务经办无纸化进程。该系统兼具数字签名等安全功能，可实现由传统纸质档案向全业务电子档案的转变，建立涵盖从业务受理、业务审批到业务办结的无纸化流转服务体系。</w:t>
      </w:r>
    </w:p>
    <w:p w14:paraId="64B7488E">
      <w:pPr>
        <w:spacing w:line="720" w:lineRule="exact"/>
        <w:ind w:firstLine="640" w:firstLineChars="200"/>
        <w:rPr>
          <w:rFonts w:ascii="仿宋" w:hAnsi="仿宋" w:eastAsia="仿宋"/>
          <w:sz w:val="32"/>
          <w:szCs w:val="32"/>
        </w:rPr>
      </w:pPr>
      <w:r>
        <w:rPr>
          <w:rFonts w:hint="eastAsia" w:ascii="仿宋" w:hAnsi="仿宋" w:eastAsia="仿宋"/>
          <w:sz w:val="32"/>
          <w:szCs w:val="32"/>
        </w:rPr>
        <w:t>档案系统建设，旨在推动档案基础能力的形成以及利用档案管理系统推进公积金信息化的建设。在档案基础能力形成上，档案管理系统覆盖“收、存、管、用”等档案管理的重要业务环节，助力档案管理电子化、精细化；在档案推进公积金信息化建设上，重点要提升公积金业务经办、政务服务网络化</w:t>
      </w:r>
      <w:r>
        <w:rPr>
          <w:rFonts w:hint="eastAsia" w:ascii="仿宋" w:hAnsi="仿宋" w:eastAsia="仿宋"/>
          <w:sz w:val="32"/>
          <w:szCs w:val="32"/>
          <w:lang w:eastAsia="zh-CN"/>
        </w:rPr>
        <w:t>，</w:t>
      </w:r>
      <w:r>
        <w:rPr>
          <w:rFonts w:hint="eastAsia" w:ascii="仿宋" w:hAnsi="仿宋" w:eastAsia="仿宋"/>
          <w:sz w:val="32"/>
          <w:szCs w:val="32"/>
        </w:rPr>
        <w:t>业务审批、风险防控智能化</w:t>
      </w:r>
      <w:r>
        <w:rPr>
          <w:rFonts w:hint="eastAsia" w:ascii="仿宋" w:hAnsi="仿宋" w:eastAsia="仿宋"/>
          <w:sz w:val="32"/>
          <w:szCs w:val="32"/>
          <w:lang w:eastAsia="zh-CN"/>
        </w:rPr>
        <w:t>，</w:t>
      </w:r>
      <w:r>
        <w:rPr>
          <w:rFonts w:hint="eastAsia" w:ascii="仿宋" w:hAnsi="仿宋" w:eastAsia="仿宋"/>
          <w:sz w:val="32"/>
          <w:szCs w:val="32"/>
        </w:rPr>
        <w:t>业务档案、业务数据资产化三方面的能力，以助力公积金中心提升服务和管理效能。</w:t>
      </w:r>
    </w:p>
    <w:p w14:paraId="78F2DBEA">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（六） 新一代信息系统（满足住建部最新智慧公积金建设要求）</w:t>
      </w:r>
    </w:p>
    <w:p w14:paraId="3F1D67DD">
      <w:pPr>
        <w:spacing w:line="720" w:lineRule="exact"/>
        <w:ind w:firstLine="640" w:firstLineChars="200"/>
        <w:rPr>
          <w:rFonts w:ascii="仿宋" w:hAnsi="仿宋" w:eastAsia="仿宋"/>
          <w:sz w:val="32"/>
          <w:szCs w:val="32"/>
        </w:rPr>
      </w:pPr>
      <w:r>
        <w:rPr>
          <w:rFonts w:hint="eastAsia" w:ascii="仿宋" w:hAnsi="仿宋" w:eastAsia="仿宋"/>
          <w:sz w:val="32"/>
          <w:szCs w:val="32"/>
        </w:rPr>
        <w:t>业务运行、服务在线、基础支撑是中心履职的根本保障，当前信息系统建设时间较早，采用的系统框架较为传统，不能保证业务灵活性、扩展性的需求，同时对H5框架、人脸识别、电子档案、电子签章等新技术运用和新服务功能拓展等存在瓶颈，导致</w:t>
      </w:r>
      <w:r>
        <w:rPr>
          <w:rFonts w:hint="eastAsia" w:ascii="仿宋" w:hAnsi="仿宋" w:eastAsia="仿宋"/>
          <w:sz w:val="32"/>
          <w:szCs w:val="32"/>
          <w:lang w:eastAsia="zh-CN"/>
        </w:rPr>
        <w:t>无法</w:t>
      </w:r>
      <w:r>
        <w:rPr>
          <w:rFonts w:hint="eastAsia" w:ascii="仿宋" w:hAnsi="仿宋" w:eastAsia="仿宋"/>
          <w:sz w:val="32"/>
          <w:szCs w:val="32"/>
        </w:rPr>
        <w:t>流畅</w:t>
      </w:r>
      <w:r>
        <w:rPr>
          <w:rFonts w:hint="eastAsia" w:ascii="仿宋" w:hAnsi="仿宋" w:eastAsia="仿宋"/>
          <w:sz w:val="32"/>
          <w:szCs w:val="32"/>
          <w:lang w:eastAsia="zh-CN"/>
        </w:rPr>
        <w:t>地</w:t>
      </w:r>
      <w:r>
        <w:rPr>
          <w:rFonts w:hint="eastAsia" w:ascii="仿宋" w:hAnsi="仿宋" w:eastAsia="仿宋"/>
          <w:sz w:val="32"/>
          <w:szCs w:val="32"/>
        </w:rPr>
        <w:t>支撑无纸化办公、不见面审批业务的开展。而近年来住建部作为行业主管部门不断规范住房公积金管理，先后出台了《住房公积金管理人员职业标准》《住房公积金归集业务标准》《住房公积金提取业务标准》《住房公积金个人住房贷款业务规范》和《住房公积金资金管理业务标准》等一系列标准规范，中心信息系统由于建设时间较早，不能完全适应住建部最新政策要求。</w:t>
      </w:r>
    </w:p>
    <w:p w14:paraId="4D65B775">
      <w:pPr>
        <w:spacing w:line="720" w:lineRule="exact"/>
        <w:ind w:firstLine="640" w:firstLineChars="200"/>
        <w:rPr>
          <w:rFonts w:ascii="仿宋" w:hAnsi="仿宋" w:eastAsia="仿宋"/>
          <w:sz w:val="32"/>
          <w:szCs w:val="32"/>
        </w:rPr>
      </w:pPr>
      <w:r>
        <w:rPr>
          <w:rFonts w:hint="eastAsia" w:ascii="仿宋" w:hAnsi="仿宋" w:eastAsia="仿宋"/>
          <w:sz w:val="32"/>
          <w:szCs w:val="32"/>
        </w:rPr>
        <w:t>新一代信息系统建设将以中心一体化、智能化、灵活化能力提升为主线，以核心业务、公众服务等工作为重点展开，同时配合业务模式、服务模式的调整，最终达到提升中心履职能力的目</w:t>
      </w:r>
      <w:r>
        <w:rPr>
          <w:rFonts w:hint="eastAsia" w:ascii="仿宋" w:hAnsi="仿宋" w:eastAsia="仿宋"/>
          <w:sz w:val="32"/>
          <w:szCs w:val="32"/>
          <w:lang w:eastAsia="zh-CN"/>
        </w:rPr>
        <w:t>标</w:t>
      </w:r>
      <w:r>
        <w:rPr>
          <w:rFonts w:hint="eastAsia" w:ascii="仿宋" w:hAnsi="仿宋" w:eastAsia="仿宋"/>
          <w:sz w:val="32"/>
          <w:szCs w:val="32"/>
        </w:rPr>
        <w:t>。</w:t>
      </w:r>
    </w:p>
    <w:p w14:paraId="515246A3">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（七） 数据治理及应用（满足住建部数字化发展要求）</w:t>
      </w:r>
    </w:p>
    <w:p w14:paraId="188F9D45">
      <w:pPr>
        <w:spacing w:line="720" w:lineRule="exact"/>
        <w:ind w:firstLine="640" w:firstLineChars="200"/>
        <w:rPr>
          <w:rFonts w:ascii="仿宋" w:hAnsi="仿宋" w:eastAsia="仿宋"/>
          <w:sz w:val="32"/>
          <w:szCs w:val="32"/>
        </w:rPr>
      </w:pPr>
      <w:r>
        <w:rPr>
          <w:rFonts w:hint="eastAsia" w:ascii="仿宋" w:hAnsi="仿宋" w:eastAsia="仿宋"/>
          <w:sz w:val="32"/>
          <w:szCs w:val="32"/>
        </w:rPr>
        <w:t>通过数据治理提高现有数据与增量数据的标准化程度，提升数据可用性，并根据中心要求，梳理形成中心数据资产，结合中心日常管理要求，赋能中心日常运行中对应的管理场景应用，促进内部管理的现代化。</w:t>
      </w:r>
    </w:p>
    <w:p w14:paraId="2E8222AC">
      <w:pPr>
        <w:spacing w:line="720" w:lineRule="exact"/>
        <w:ind w:firstLine="640" w:firstLineChars="200"/>
        <w:rPr>
          <w:rFonts w:ascii="仿宋" w:hAnsi="仿宋" w:eastAsia="仿宋"/>
          <w:sz w:val="32"/>
          <w:szCs w:val="32"/>
        </w:rPr>
      </w:pPr>
      <w:r>
        <w:rPr>
          <w:rFonts w:hint="eastAsia" w:ascii="仿宋" w:hAnsi="仿宋" w:eastAsia="仿宋"/>
          <w:sz w:val="32"/>
          <w:szCs w:val="32"/>
        </w:rPr>
        <w:t>1. 数据治理</w:t>
      </w:r>
    </w:p>
    <w:p w14:paraId="3E74E261">
      <w:pPr>
        <w:spacing w:line="720" w:lineRule="exact"/>
        <w:ind w:firstLine="640" w:firstLineChars="200"/>
        <w:rPr>
          <w:rFonts w:ascii="仿宋" w:hAnsi="仿宋" w:eastAsia="仿宋"/>
          <w:sz w:val="32"/>
          <w:szCs w:val="32"/>
        </w:rPr>
      </w:pPr>
      <w:r>
        <w:rPr>
          <w:rFonts w:hint="eastAsia" w:ascii="仿宋" w:hAnsi="仿宋" w:eastAsia="仿宋"/>
          <w:sz w:val="32"/>
          <w:szCs w:val="32"/>
        </w:rPr>
        <w:t>围绕数据资产管理、数据质量提升、数据价值挖掘等数据支撑需求，建立多主体协同的数据治理机制，形成数据采集、数据融合、数据分析、数据应用等为一体的规范流程，为数据价值形成、数据赋能应用提供支撑。</w:t>
      </w:r>
    </w:p>
    <w:p w14:paraId="1B5F43EC">
      <w:pPr>
        <w:spacing w:line="720" w:lineRule="exact"/>
        <w:ind w:firstLine="640" w:firstLineChars="200"/>
        <w:rPr>
          <w:rFonts w:ascii="仿宋" w:hAnsi="仿宋" w:eastAsia="仿宋"/>
          <w:sz w:val="32"/>
          <w:szCs w:val="32"/>
        </w:rPr>
      </w:pPr>
      <w:r>
        <w:rPr>
          <w:rFonts w:hint="eastAsia" w:ascii="仿宋" w:hAnsi="仿宋" w:eastAsia="仿宋"/>
          <w:sz w:val="32"/>
          <w:szCs w:val="32"/>
        </w:rPr>
        <w:t>数据标准：制定和发布统一的数据标准，实现中心全部数据的标准化管理，保障数据的完整性、一致性、规范性，为数据管理提供标准依据，为业务、技术和管理提供服务和支持。</w:t>
      </w:r>
    </w:p>
    <w:p w14:paraId="4BE06A26">
      <w:pPr>
        <w:spacing w:line="720" w:lineRule="exact"/>
        <w:ind w:firstLine="640" w:firstLineChars="200"/>
        <w:rPr>
          <w:rFonts w:ascii="仿宋" w:hAnsi="仿宋" w:eastAsia="仿宋"/>
          <w:sz w:val="32"/>
          <w:szCs w:val="32"/>
        </w:rPr>
      </w:pPr>
      <w:r>
        <w:rPr>
          <w:rFonts w:hint="eastAsia" w:ascii="仿宋" w:hAnsi="仿宋" w:eastAsia="仿宋"/>
          <w:sz w:val="32"/>
          <w:szCs w:val="32"/>
        </w:rPr>
        <w:t>数据质量：数据质量管理是按照主数据预处理实施方案，根据各业务域的主数据处理规则，建立数据质量评价细则，自动生成数据质量评价报告；并对汇集数据进行核验，不断提高数据的完整性、准确性、一致性、规范性</w:t>
      </w:r>
      <w:r>
        <w:rPr>
          <w:rFonts w:hint="eastAsia" w:ascii="仿宋" w:hAnsi="仿宋" w:eastAsia="仿宋"/>
          <w:sz w:val="32"/>
          <w:szCs w:val="32"/>
          <w:lang w:eastAsia="zh-CN"/>
        </w:rPr>
        <w:t>、</w:t>
      </w:r>
      <w:r>
        <w:rPr>
          <w:rFonts w:hint="eastAsia" w:ascii="仿宋" w:hAnsi="仿宋" w:eastAsia="仿宋"/>
          <w:sz w:val="32"/>
          <w:szCs w:val="32"/>
        </w:rPr>
        <w:t>及时性。</w:t>
      </w:r>
    </w:p>
    <w:p w14:paraId="7016B329">
      <w:pPr>
        <w:spacing w:line="720" w:lineRule="exact"/>
        <w:ind w:firstLine="640" w:firstLineChars="200"/>
        <w:rPr>
          <w:rFonts w:ascii="仿宋" w:hAnsi="仿宋" w:eastAsia="仿宋"/>
          <w:sz w:val="32"/>
          <w:szCs w:val="32"/>
        </w:rPr>
      </w:pPr>
      <w:r>
        <w:rPr>
          <w:rFonts w:hint="eastAsia" w:ascii="仿宋" w:hAnsi="仿宋" w:eastAsia="仿宋"/>
          <w:sz w:val="32"/>
          <w:szCs w:val="32"/>
        </w:rPr>
        <w:t>数据安全：数据安全模块涵盖数据资源权限管理、数据脱敏管理、数据使用日志审计等功能，对数据中心的数据进行多重保护，有效避免数据泄密、数据滥用、数据丢失等风险。</w:t>
      </w:r>
    </w:p>
    <w:p w14:paraId="6962DD36">
      <w:pPr>
        <w:spacing w:line="720" w:lineRule="exact"/>
        <w:ind w:firstLine="640" w:firstLineChars="200"/>
        <w:rPr>
          <w:rFonts w:ascii="仿宋" w:hAnsi="仿宋" w:eastAsia="仿宋"/>
          <w:sz w:val="32"/>
          <w:szCs w:val="32"/>
        </w:rPr>
      </w:pPr>
      <w:r>
        <w:rPr>
          <w:rFonts w:hint="eastAsia" w:ascii="仿宋" w:hAnsi="仿宋" w:eastAsia="仿宋"/>
          <w:sz w:val="32"/>
          <w:szCs w:val="32"/>
        </w:rPr>
        <w:t>数据管控：对数据标准、数据质量、元数据及数据安全进行维护，实现数据的治理与管理，解决管理信息化在数据层面的核心问题，形成横向集成、纵向贯通的高效、有序的信息流，发挥数据信息的支撑作用。</w:t>
      </w:r>
    </w:p>
    <w:p w14:paraId="37BBEBC6">
      <w:pPr>
        <w:spacing w:line="720" w:lineRule="exact"/>
        <w:ind w:firstLine="640" w:firstLineChars="200"/>
        <w:rPr>
          <w:rFonts w:ascii="仿宋" w:hAnsi="仿宋" w:eastAsia="仿宋"/>
          <w:sz w:val="32"/>
          <w:szCs w:val="32"/>
        </w:rPr>
      </w:pPr>
      <w:r>
        <w:rPr>
          <w:rFonts w:hint="eastAsia" w:ascii="仿宋" w:hAnsi="仿宋" w:eastAsia="仿宋"/>
          <w:sz w:val="32"/>
          <w:szCs w:val="32"/>
        </w:rPr>
        <w:t>数据资产：结合数据治理初步形成的数据资产，为业务创新及服务创新等场景提供有力支撑和保障，同时深度挖掘数据资产背后的价值，与实际业务场景进行深度融合，完善一项，推出一项，促进业务和服务再度创新，使数据资产价值最大化。</w:t>
      </w:r>
    </w:p>
    <w:p w14:paraId="1201680F">
      <w:pPr>
        <w:spacing w:line="720" w:lineRule="exact"/>
        <w:ind w:firstLine="640" w:firstLineChars="200"/>
        <w:rPr>
          <w:rFonts w:ascii="仿宋" w:hAnsi="仿宋" w:eastAsia="仿宋"/>
          <w:sz w:val="32"/>
          <w:szCs w:val="32"/>
        </w:rPr>
      </w:pPr>
      <w:r>
        <w:rPr>
          <w:rFonts w:hint="eastAsia" w:ascii="仿宋" w:hAnsi="仿宋" w:eastAsia="仿宋"/>
          <w:sz w:val="32"/>
          <w:szCs w:val="32"/>
        </w:rPr>
        <w:t>2. 数据应用</w:t>
      </w:r>
    </w:p>
    <w:p w14:paraId="5CB0FC20">
      <w:pPr>
        <w:spacing w:line="720" w:lineRule="exact"/>
        <w:ind w:firstLine="640" w:firstLineChars="200"/>
        <w:rPr>
          <w:rFonts w:ascii="仿宋" w:hAnsi="仿宋" w:eastAsia="仿宋"/>
          <w:sz w:val="32"/>
          <w:szCs w:val="32"/>
        </w:rPr>
      </w:pPr>
      <w:r>
        <w:rPr>
          <w:rFonts w:hint="eastAsia" w:ascii="仿宋" w:hAnsi="仿宋" w:eastAsia="仿宋"/>
          <w:sz w:val="32"/>
          <w:szCs w:val="32"/>
        </w:rPr>
        <w:t>基于已形成的数据治理成果和数据资产，不断探索公积金行业内以及社会化的应用场景，通过建立数据标签和模型，推动住房公积金管理精细化、数字化、智能化以及社会价值显性化，助力公积金事业高质量发展。</w:t>
      </w:r>
    </w:p>
    <w:p w14:paraId="3DEE36DC">
      <w:pPr>
        <w:spacing w:line="720" w:lineRule="exact"/>
        <w:ind w:firstLine="640" w:firstLineChars="200"/>
        <w:rPr>
          <w:rFonts w:ascii="仿宋" w:hAnsi="仿宋" w:eastAsia="仿宋"/>
          <w:sz w:val="32"/>
          <w:szCs w:val="32"/>
        </w:rPr>
      </w:pPr>
      <w:r>
        <w:rPr>
          <w:rFonts w:hint="eastAsia" w:ascii="仿宋" w:hAnsi="仿宋" w:eastAsia="仿宋"/>
          <w:sz w:val="32"/>
          <w:szCs w:val="32"/>
        </w:rPr>
        <w:t>（1） 数字大屏直观展示</w:t>
      </w:r>
    </w:p>
    <w:p w14:paraId="193EF982">
      <w:pPr>
        <w:spacing w:line="720" w:lineRule="exact"/>
        <w:ind w:firstLine="640" w:firstLineChars="200"/>
        <w:rPr>
          <w:rFonts w:ascii="仿宋" w:hAnsi="仿宋" w:eastAsia="仿宋"/>
          <w:sz w:val="32"/>
          <w:szCs w:val="32"/>
        </w:rPr>
      </w:pPr>
      <w:r>
        <w:rPr>
          <w:rFonts w:hint="eastAsia" w:ascii="仿宋" w:hAnsi="仿宋" w:eastAsia="仿宋"/>
          <w:sz w:val="32"/>
          <w:szCs w:val="32"/>
        </w:rPr>
        <w:t>在中心的日常管理中，工作汇报与工作分析是重要组成部分。</w:t>
      </w:r>
      <w:r>
        <w:rPr>
          <w:rFonts w:hint="eastAsia" w:ascii="仿宋" w:hAnsi="仿宋" w:eastAsia="仿宋"/>
          <w:sz w:val="32"/>
          <w:szCs w:val="32"/>
          <w:lang w:eastAsia="zh-CN"/>
        </w:rPr>
        <w:t>为</w:t>
      </w:r>
      <w:r>
        <w:rPr>
          <w:rFonts w:hint="eastAsia" w:ascii="仿宋" w:hAnsi="仿宋" w:eastAsia="仿宋"/>
          <w:sz w:val="32"/>
          <w:szCs w:val="32"/>
        </w:rPr>
        <w:t>更便捷、更直观</w:t>
      </w:r>
      <w:r>
        <w:rPr>
          <w:rFonts w:hint="eastAsia" w:ascii="仿宋" w:hAnsi="仿宋" w:eastAsia="仿宋"/>
          <w:sz w:val="32"/>
          <w:szCs w:val="32"/>
          <w:lang w:eastAsia="zh-CN"/>
        </w:rPr>
        <w:t>地</w:t>
      </w:r>
      <w:r>
        <w:rPr>
          <w:rFonts w:hint="eastAsia" w:ascii="仿宋" w:hAnsi="仿宋" w:eastAsia="仿宋"/>
          <w:sz w:val="32"/>
          <w:szCs w:val="32"/>
        </w:rPr>
        <w:t>展示中心工作成果，</w:t>
      </w:r>
      <w:r>
        <w:rPr>
          <w:rFonts w:hint="eastAsia" w:ascii="仿宋" w:hAnsi="仿宋" w:eastAsia="仿宋"/>
          <w:sz w:val="32"/>
          <w:szCs w:val="32"/>
          <w:lang w:val="en-US" w:eastAsia="zh-CN"/>
        </w:rPr>
        <w:t>就必须</w:t>
      </w:r>
      <w:r>
        <w:rPr>
          <w:rFonts w:hint="eastAsia" w:ascii="仿宋" w:hAnsi="仿宋" w:eastAsia="仿宋"/>
          <w:sz w:val="32"/>
          <w:szCs w:val="32"/>
        </w:rPr>
        <w:t>建设一套可灵活配置主题、动态调整展现形式的数字看板平台。</w:t>
      </w:r>
    </w:p>
    <w:p w14:paraId="765A2E8E">
      <w:pPr>
        <w:spacing w:line="720" w:lineRule="exact"/>
        <w:ind w:firstLine="640" w:firstLineChars="200"/>
        <w:rPr>
          <w:rFonts w:ascii="仿宋" w:hAnsi="仿宋" w:eastAsia="仿宋"/>
          <w:sz w:val="32"/>
          <w:szCs w:val="32"/>
        </w:rPr>
      </w:pPr>
      <w:r>
        <w:rPr>
          <w:rFonts w:hint="eastAsia" w:ascii="仿宋" w:hAnsi="仿宋" w:eastAsia="仿宋"/>
          <w:sz w:val="32"/>
          <w:szCs w:val="32"/>
        </w:rPr>
        <w:t>“三门峡市公积金数字看板平台”</w:t>
      </w:r>
      <w:r>
        <w:rPr>
          <w:rFonts w:hint="eastAsia" w:ascii="仿宋" w:hAnsi="仿宋" w:eastAsia="仿宋"/>
          <w:sz w:val="32"/>
          <w:szCs w:val="32"/>
          <w:lang w:eastAsia="zh-CN"/>
        </w:rPr>
        <w:t>以</w:t>
      </w:r>
      <w:r>
        <w:rPr>
          <w:rFonts w:hint="eastAsia" w:ascii="仿宋" w:hAnsi="仿宋" w:eastAsia="仿宋"/>
          <w:sz w:val="32"/>
          <w:szCs w:val="32"/>
        </w:rPr>
        <w:t>公积金大屏展示素材库</w:t>
      </w:r>
      <w:r>
        <w:rPr>
          <w:rFonts w:hint="eastAsia" w:ascii="仿宋" w:hAnsi="仿宋" w:eastAsia="仿宋"/>
          <w:sz w:val="32"/>
          <w:szCs w:val="32"/>
          <w:lang w:eastAsia="zh-CN"/>
        </w:rPr>
        <w:t>为基础</w:t>
      </w:r>
      <w:r>
        <w:rPr>
          <w:rFonts w:hint="eastAsia" w:ascii="仿宋" w:hAnsi="仿宋" w:eastAsia="仿宋"/>
          <w:sz w:val="32"/>
          <w:szCs w:val="32"/>
        </w:rPr>
        <w:t>，针对中心接待、交流、调研、视察、内部分析等工作，结合不同的来访群体或汇报对象，灵活配置中心数字大屏，形成面向不同场景、不同对象、不同主题的定制化大屏展示内容，生动展示中心工作内容。</w:t>
      </w:r>
    </w:p>
    <w:p w14:paraId="164F4568">
      <w:pPr>
        <w:spacing w:line="720" w:lineRule="exact"/>
        <w:ind w:firstLine="640" w:firstLineChars="200"/>
        <w:rPr>
          <w:rFonts w:ascii="仿宋" w:hAnsi="仿宋" w:eastAsia="仿宋"/>
          <w:sz w:val="32"/>
          <w:szCs w:val="32"/>
        </w:rPr>
      </w:pPr>
      <w:r>
        <w:rPr>
          <w:rFonts w:hint="eastAsia" w:ascii="仿宋" w:hAnsi="仿宋" w:eastAsia="仿宋"/>
          <w:sz w:val="32"/>
          <w:szCs w:val="32"/>
        </w:rPr>
        <w:t>（2）数据赋能科学决策</w:t>
      </w:r>
    </w:p>
    <w:p w14:paraId="4C0FB08B">
      <w:pPr>
        <w:spacing w:line="720" w:lineRule="exact"/>
        <w:ind w:firstLine="640" w:firstLineChars="200"/>
        <w:rPr>
          <w:rFonts w:ascii="仿宋" w:hAnsi="仿宋" w:eastAsia="仿宋"/>
          <w:sz w:val="32"/>
          <w:szCs w:val="32"/>
        </w:rPr>
      </w:pPr>
      <w:r>
        <w:rPr>
          <w:rFonts w:hint="eastAsia" w:ascii="仿宋" w:hAnsi="仿宋" w:eastAsia="仿宋"/>
          <w:sz w:val="32"/>
          <w:szCs w:val="32"/>
        </w:rPr>
        <w:t>随着信息技术的发展，中心积累了大量的原始数据，而数据的重要性也不断凸显。因数据本身具有客观性、科学性、现实性，所以利用数据进行决策，使中心从经验决策变为数据科学决策</w:t>
      </w:r>
      <w:r>
        <w:rPr>
          <w:rFonts w:hint="eastAsia" w:ascii="仿宋" w:hAnsi="仿宋" w:eastAsia="仿宋"/>
          <w:sz w:val="32"/>
          <w:szCs w:val="32"/>
          <w:lang w:eastAsia="zh-CN"/>
        </w:rPr>
        <w:t>、</w:t>
      </w:r>
      <w:r>
        <w:rPr>
          <w:rFonts w:hint="eastAsia" w:ascii="仿宋" w:hAnsi="仿宋" w:eastAsia="仿宋"/>
          <w:sz w:val="32"/>
          <w:szCs w:val="32"/>
        </w:rPr>
        <w:t>促使业务效能提升、服务质量优化、管理能力提升已经成为当下发展的</w:t>
      </w:r>
      <w:r>
        <w:rPr>
          <w:rFonts w:hint="eastAsia" w:ascii="仿宋" w:hAnsi="仿宋" w:eastAsia="仿宋"/>
          <w:sz w:val="32"/>
          <w:szCs w:val="32"/>
          <w:lang w:val="en-US" w:eastAsia="zh-CN"/>
        </w:rPr>
        <w:t>必然要求</w:t>
      </w:r>
      <w:r>
        <w:rPr>
          <w:rFonts w:hint="eastAsia" w:ascii="仿宋" w:hAnsi="仿宋" w:eastAsia="仿宋"/>
          <w:sz w:val="32"/>
          <w:szCs w:val="32"/>
        </w:rPr>
        <w:t>。</w:t>
      </w:r>
    </w:p>
    <w:p w14:paraId="47FAF597">
      <w:pPr>
        <w:spacing w:line="720" w:lineRule="exact"/>
        <w:ind w:firstLine="640" w:firstLineChars="200"/>
        <w:rPr>
          <w:rFonts w:ascii="仿宋" w:hAnsi="仿宋" w:eastAsia="仿宋"/>
          <w:sz w:val="32"/>
          <w:szCs w:val="32"/>
        </w:rPr>
      </w:pPr>
      <w:r>
        <w:rPr>
          <w:rFonts w:hint="eastAsia" w:ascii="仿宋" w:hAnsi="仿宋" w:eastAsia="仿宋"/>
          <w:sz w:val="32"/>
          <w:szCs w:val="32"/>
        </w:rPr>
        <w:t>决策分析系统以“释放数据价值，挖掘数据潜能，赋能科学决策”为核心，以大数据技术为手段，挖掘数据深度，扩宽数据广度，分析数据关系，预测数据趋势。将</w:t>
      </w:r>
      <w:r>
        <w:rPr>
          <w:rFonts w:hint="eastAsia" w:ascii="仿宋" w:hAnsi="仿宋" w:eastAsia="仿宋"/>
          <w:sz w:val="32"/>
          <w:szCs w:val="32"/>
          <w:lang w:eastAsia="zh-CN"/>
        </w:rPr>
        <w:t>中心</w:t>
      </w:r>
      <w:r>
        <w:rPr>
          <w:rFonts w:hint="eastAsia" w:ascii="仿宋" w:hAnsi="仿宋" w:eastAsia="仿宋"/>
          <w:sz w:val="32"/>
          <w:szCs w:val="32"/>
        </w:rPr>
        <w:t>客户信息、业务信息、财务信息、服务信息等内部信息以及外部信息进行综合管理，在此基础之上建立中心多级、多层、多门类的决策指标管理体系，同时结合中心决策指标、分析单元和分析专题，打造面向中心业务、服务、管理的决策分析系统，通过数据分析进行决策和预测，满足中心在政策优化、资金预测、趋势研判等方面的需求。</w:t>
      </w:r>
    </w:p>
    <w:p w14:paraId="7BBD0550">
      <w:pPr>
        <w:spacing w:line="720" w:lineRule="exact"/>
        <w:ind w:firstLine="640" w:firstLineChars="200"/>
        <w:rPr>
          <w:rFonts w:ascii="仿宋" w:hAnsi="仿宋" w:eastAsia="仿宋"/>
          <w:sz w:val="32"/>
          <w:szCs w:val="32"/>
        </w:rPr>
      </w:pPr>
      <w:r>
        <w:rPr>
          <w:rFonts w:hint="eastAsia" w:ascii="仿宋" w:hAnsi="仿宋" w:eastAsia="仿宋"/>
          <w:sz w:val="32"/>
          <w:szCs w:val="32"/>
        </w:rPr>
        <w:t>决策分析系统</w:t>
      </w:r>
      <w:r>
        <w:rPr>
          <w:rFonts w:hint="eastAsia" w:ascii="仿宋" w:hAnsi="仿宋" w:eastAsia="仿宋"/>
          <w:sz w:val="32"/>
          <w:szCs w:val="32"/>
          <w:lang w:eastAsia="zh-CN"/>
        </w:rPr>
        <w:t>可</w:t>
      </w:r>
      <w:r>
        <w:rPr>
          <w:rFonts w:hint="eastAsia" w:ascii="仿宋" w:hAnsi="仿宋" w:eastAsia="仿宋"/>
          <w:sz w:val="32"/>
          <w:szCs w:val="32"/>
        </w:rPr>
        <w:t>将以往经验型决策的方式转变为数据辅助型决策的方式，为数据驱动科学决策提供新动能，促使管理模式从粗放管理到精细管理</w:t>
      </w:r>
      <w:r>
        <w:rPr>
          <w:rFonts w:hint="eastAsia" w:ascii="仿宋" w:hAnsi="仿宋" w:eastAsia="仿宋"/>
          <w:sz w:val="32"/>
          <w:szCs w:val="32"/>
          <w:lang w:eastAsia="zh-CN"/>
        </w:rPr>
        <w:t>转变</w:t>
      </w:r>
      <w:r>
        <w:rPr>
          <w:rFonts w:hint="eastAsia" w:ascii="仿宋" w:hAnsi="仿宋" w:eastAsia="仿宋"/>
          <w:sz w:val="32"/>
          <w:szCs w:val="32"/>
        </w:rPr>
        <w:t>，从宏观管理到微观分析转变。</w:t>
      </w:r>
    </w:p>
    <w:p w14:paraId="405FF049">
      <w:pPr>
        <w:spacing w:line="720" w:lineRule="exact"/>
        <w:ind w:firstLine="640" w:firstLineChars="200"/>
        <w:rPr>
          <w:rFonts w:ascii="仿宋" w:hAnsi="仿宋" w:eastAsia="仿宋"/>
          <w:sz w:val="32"/>
          <w:szCs w:val="32"/>
        </w:rPr>
      </w:pPr>
      <w:r>
        <w:rPr>
          <w:rFonts w:hint="eastAsia" w:ascii="仿宋" w:hAnsi="仿宋" w:eastAsia="仿宋"/>
          <w:sz w:val="32"/>
          <w:szCs w:val="32"/>
        </w:rPr>
        <w:t>（3）用户画像赋能精准服务</w:t>
      </w:r>
    </w:p>
    <w:p w14:paraId="241038D8">
      <w:pPr>
        <w:spacing w:line="720" w:lineRule="exact"/>
        <w:ind w:firstLine="640" w:firstLineChars="200"/>
        <w:rPr>
          <w:rFonts w:ascii="仿宋" w:hAnsi="仿宋" w:eastAsia="仿宋"/>
          <w:sz w:val="32"/>
          <w:szCs w:val="32"/>
        </w:rPr>
      </w:pPr>
      <w:r>
        <w:rPr>
          <w:rFonts w:hint="eastAsia" w:ascii="仿宋" w:hAnsi="仿宋" w:eastAsia="仿宋"/>
          <w:sz w:val="32"/>
          <w:szCs w:val="32"/>
        </w:rPr>
        <w:t>通过数据精准感知需求端用户需求和服务体验，对业务数据、行为数据、档案数据等全维度、多平台、多形式客户数据资源进行整合，充分利用大数据技术对跨领域、跨渠道的多元数据展开分析挖掘，建立用户画像，通过画像标签立体化全方位地展现用户</w:t>
      </w:r>
      <w:r>
        <w:rPr>
          <w:rFonts w:hint="eastAsia" w:ascii="仿宋" w:hAnsi="仿宋" w:eastAsia="仿宋"/>
          <w:sz w:val="32"/>
          <w:szCs w:val="32"/>
          <w:lang w:eastAsia="zh-CN"/>
        </w:rPr>
        <w:t>情况</w:t>
      </w:r>
      <w:r>
        <w:rPr>
          <w:rFonts w:hint="eastAsia" w:ascii="仿宋" w:hAnsi="仿宋" w:eastAsia="仿宋"/>
          <w:sz w:val="32"/>
          <w:szCs w:val="32"/>
        </w:rPr>
        <w:t>，全面掌握用户行为特征和规律，根据用户需求和体验来优化服务资源配置，丰富服务内容，改进服务方式，为用户提供个性化、精准化的服务。</w:t>
      </w:r>
    </w:p>
    <w:p w14:paraId="5B8A1E77">
      <w:pPr>
        <w:spacing w:line="720" w:lineRule="exact"/>
        <w:ind w:firstLine="640" w:firstLineChars="200"/>
        <w:rPr>
          <w:rFonts w:ascii="仿宋" w:hAnsi="仿宋" w:eastAsia="仿宋"/>
          <w:sz w:val="32"/>
          <w:szCs w:val="32"/>
        </w:rPr>
      </w:pPr>
      <w:r>
        <w:rPr>
          <w:rFonts w:hint="eastAsia" w:ascii="仿宋" w:hAnsi="仿宋" w:eastAsia="仿宋"/>
          <w:sz w:val="32"/>
          <w:szCs w:val="32"/>
        </w:rPr>
        <w:t>（4）数据赋能风控现代化</w:t>
      </w:r>
    </w:p>
    <w:p w14:paraId="06912909">
      <w:pPr>
        <w:spacing w:line="720" w:lineRule="exact"/>
        <w:ind w:firstLine="640" w:firstLineChars="200"/>
        <w:rPr>
          <w:rFonts w:ascii="仿宋" w:hAnsi="仿宋" w:eastAsia="仿宋"/>
          <w:sz w:val="32"/>
          <w:szCs w:val="32"/>
        </w:rPr>
      </w:pPr>
      <w:r>
        <w:rPr>
          <w:rFonts w:hint="eastAsia" w:ascii="仿宋" w:hAnsi="仿宋" w:eastAsia="仿宋"/>
          <w:sz w:val="32"/>
          <w:szCs w:val="32"/>
        </w:rPr>
        <w:t>构建全中心、全业务、全场景、全渠道、全岗位的风险防控体系，借助智能规则引擎、深度学习算法、自动识别机制等实现对人、财、事、服务、数据等多维度的自动审计。该体系以稽核审计为中心，以包括住建部及省住建厅电子双查、国家审计部门的审计要素在内的100多个风控模型为基础，以嵌入业务流程和系统底层的方式，完成由单</w:t>
      </w:r>
      <w:r>
        <w:rPr>
          <w:rFonts w:hint="eastAsia" w:ascii="仿宋" w:hAnsi="仿宋" w:eastAsia="仿宋"/>
          <w:sz w:val="32"/>
          <w:szCs w:val="32"/>
          <w:lang w:val="en-US" w:eastAsia="zh-CN"/>
        </w:rPr>
        <w:t>一过程</w:t>
      </w:r>
      <w:r>
        <w:rPr>
          <w:rFonts w:hint="eastAsia" w:ascii="仿宋" w:hAnsi="仿宋" w:eastAsia="仿宋"/>
          <w:sz w:val="32"/>
          <w:szCs w:val="32"/>
        </w:rPr>
        <w:t>防范风险向全过程风险控制的转变，实现事前、事中、事后三位一体的全流程风险防控。</w:t>
      </w:r>
    </w:p>
    <w:p w14:paraId="5003BB4D">
      <w:pPr>
        <w:spacing w:line="720" w:lineRule="exact"/>
        <w:ind w:firstLine="640" w:firstLineChars="200"/>
        <w:rPr>
          <w:rFonts w:ascii="仿宋" w:hAnsi="仿宋" w:eastAsia="仿宋"/>
          <w:sz w:val="32"/>
          <w:szCs w:val="32"/>
        </w:rPr>
      </w:pPr>
      <w:r>
        <w:rPr>
          <w:rFonts w:hint="eastAsia" w:ascii="仿宋" w:hAnsi="仿宋" w:eastAsia="仿宋"/>
          <w:sz w:val="32"/>
          <w:szCs w:val="32"/>
        </w:rPr>
        <w:t>在事前风险防控</w:t>
      </w:r>
      <w:r>
        <w:rPr>
          <w:rFonts w:hint="eastAsia" w:ascii="仿宋" w:hAnsi="仿宋" w:eastAsia="仿宋"/>
          <w:sz w:val="32"/>
          <w:szCs w:val="32"/>
          <w:lang w:eastAsia="zh-CN"/>
        </w:rPr>
        <w:t>方面</w:t>
      </w:r>
      <w:r>
        <w:rPr>
          <w:rFonts w:hint="eastAsia" w:ascii="仿宋" w:hAnsi="仿宋" w:eastAsia="仿宋"/>
          <w:sz w:val="32"/>
          <w:szCs w:val="32"/>
        </w:rPr>
        <w:t>，</w:t>
      </w:r>
      <w:r>
        <w:rPr>
          <w:rFonts w:hint="eastAsia" w:ascii="仿宋" w:hAnsi="仿宋" w:eastAsia="仿宋"/>
          <w:sz w:val="32"/>
          <w:szCs w:val="32"/>
          <w:lang w:eastAsia="zh-CN"/>
        </w:rPr>
        <w:t>通过</w:t>
      </w:r>
      <w:r>
        <w:rPr>
          <w:rFonts w:hint="eastAsia" w:ascii="仿宋" w:hAnsi="仿宋" w:eastAsia="仿宋"/>
          <w:sz w:val="32"/>
          <w:szCs w:val="32"/>
        </w:rPr>
        <w:t>加强风险数据库的建设，以全面涵盖公积金内部数据以及与公积金相关的外部数据。同时进行多维多主体的风险刻画，从不同维度全面展示风险特征并进行风险关系图谱分析，识别风险行为，实现在业务办理过程中的实时预警筛查，从源头上阻绝风险。</w:t>
      </w:r>
    </w:p>
    <w:p w14:paraId="523F00CB">
      <w:pPr>
        <w:spacing w:line="720" w:lineRule="exact"/>
        <w:ind w:firstLine="640" w:firstLineChars="200"/>
        <w:rPr>
          <w:rFonts w:ascii="仿宋" w:hAnsi="仿宋" w:eastAsia="仿宋"/>
          <w:sz w:val="32"/>
          <w:szCs w:val="32"/>
        </w:rPr>
      </w:pPr>
      <w:r>
        <w:rPr>
          <w:rFonts w:hint="eastAsia" w:ascii="仿宋" w:hAnsi="仿宋" w:eastAsia="仿宋"/>
          <w:sz w:val="32"/>
          <w:szCs w:val="32"/>
        </w:rPr>
        <w:t>在事中风险防控</w:t>
      </w:r>
      <w:r>
        <w:rPr>
          <w:rFonts w:hint="eastAsia" w:ascii="仿宋" w:hAnsi="仿宋" w:eastAsia="仿宋"/>
          <w:sz w:val="32"/>
          <w:szCs w:val="32"/>
          <w:lang w:eastAsia="zh-CN"/>
        </w:rPr>
        <w:t>方面</w:t>
      </w:r>
      <w:r>
        <w:rPr>
          <w:rFonts w:hint="eastAsia" w:ascii="仿宋" w:hAnsi="仿宋" w:eastAsia="仿宋"/>
          <w:sz w:val="32"/>
          <w:szCs w:val="32"/>
        </w:rPr>
        <w:t>，通过与各主要业务系统的集成贯通，将风险管控要求嵌入各个业务环节的运转流程，在不影响业务</w:t>
      </w:r>
      <w:r>
        <w:rPr>
          <w:rFonts w:hint="eastAsia" w:ascii="仿宋" w:hAnsi="仿宋" w:eastAsia="仿宋"/>
          <w:sz w:val="32"/>
          <w:szCs w:val="32"/>
          <w:lang w:eastAsia="zh-CN"/>
        </w:rPr>
        <w:t>办理</w:t>
      </w:r>
      <w:r>
        <w:rPr>
          <w:rFonts w:hint="eastAsia" w:ascii="仿宋" w:hAnsi="仿宋" w:eastAsia="仿宋"/>
          <w:sz w:val="32"/>
          <w:szCs w:val="32"/>
        </w:rPr>
        <w:t>效率的情况下，对风险进行全周期管理，实现对业务事中的实时预警，打造风险和体验相平衡的柔性防控模式。根据不同渠道特点、业务和风险类型，建立分级干预策略</w:t>
      </w:r>
      <w:r>
        <w:rPr>
          <w:rFonts w:hint="eastAsia" w:ascii="仿宋" w:hAnsi="仿宋" w:eastAsia="仿宋"/>
          <w:sz w:val="32"/>
          <w:szCs w:val="32"/>
          <w:lang w:eastAsia="zh-CN"/>
        </w:rPr>
        <w:t>，</w:t>
      </w:r>
      <w:r>
        <w:rPr>
          <w:rFonts w:hint="eastAsia" w:ascii="仿宋" w:hAnsi="仿宋" w:eastAsia="仿宋"/>
          <w:sz w:val="32"/>
          <w:szCs w:val="32"/>
        </w:rPr>
        <w:t>对中低风险采用增强身份验证等柔性干预策略，提升客户体验；对高风险交易采用止付等干预策略，确保客户资金安全，形成“监测-触发-识别-评估-报告-处置-反馈-改进”闭环管理流程。</w:t>
      </w:r>
    </w:p>
    <w:p w14:paraId="588B780D">
      <w:pPr>
        <w:spacing w:line="720" w:lineRule="exact"/>
        <w:ind w:firstLine="640" w:firstLineChars="200"/>
        <w:rPr>
          <w:rFonts w:ascii="仿宋" w:hAnsi="仿宋" w:eastAsia="仿宋"/>
          <w:sz w:val="32"/>
          <w:szCs w:val="32"/>
        </w:rPr>
      </w:pPr>
      <w:r>
        <w:rPr>
          <w:rFonts w:hint="eastAsia" w:ascii="仿宋" w:hAnsi="仿宋" w:eastAsia="仿宋"/>
          <w:sz w:val="32"/>
          <w:szCs w:val="32"/>
        </w:rPr>
        <w:t>在事后风险处置</w:t>
      </w:r>
      <w:r>
        <w:rPr>
          <w:rFonts w:hint="eastAsia" w:ascii="仿宋" w:hAnsi="仿宋" w:eastAsia="仿宋"/>
          <w:sz w:val="32"/>
          <w:szCs w:val="32"/>
          <w:lang w:eastAsia="zh-CN"/>
        </w:rPr>
        <w:t>方面</w:t>
      </w:r>
      <w:r>
        <w:rPr>
          <w:rFonts w:hint="eastAsia" w:ascii="仿宋" w:hAnsi="仿宋" w:eastAsia="仿宋"/>
          <w:sz w:val="32"/>
          <w:szCs w:val="32"/>
        </w:rPr>
        <w:t>，通过收集整理各渠道风险事件，对风险事件进展进行综合管理，为业务模型挖掘、验证提供数据基础，并将此内容与事前、事中风险防控进行结合，形成风险防控的良性循环。</w:t>
      </w:r>
    </w:p>
    <w:p w14:paraId="2EE043C6">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（八） 信创改造适配（包括基础硬件适配和服务端国产芯片、操作系统、数据库、中间件适配）</w:t>
      </w:r>
    </w:p>
    <w:p w14:paraId="550C1DC0">
      <w:pPr>
        <w:spacing w:line="720" w:lineRule="exact"/>
        <w:ind w:firstLine="640" w:firstLineChars="200"/>
        <w:rPr>
          <w:rFonts w:ascii="仿宋" w:hAnsi="仿宋" w:eastAsia="仿宋"/>
          <w:sz w:val="32"/>
          <w:szCs w:val="32"/>
        </w:rPr>
      </w:pPr>
      <w:r>
        <w:rPr>
          <w:rFonts w:hint="eastAsia" w:ascii="仿宋" w:hAnsi="仿宋" w:eastAsia="仿宋"/>
          <w:sz w:val="32"/>
          <w:szCs w:val="32"/>
        </w:rPr>
        <w:t>信创作为国家级战略布局，有助于确保软硬件供应链安全，同时也有助于国内核心软硬件企业成长，帮助核心数字产业提升成长。中心作为三门峡市重要的准金融性质政府部门，在“十四五”期间外界因素不断变化以及相关政策大力支持的背景下，对信息系统安全的建设标准要求不断升高，信息系统安全、自主、可控的需求也在不断增强。</w:t>
      </w:r>
    </w:p>
    <w:p w14:paraId="53393AE9">
      <w:pPr>
        <w:spacing w:line="720" w:lineRule="exact"/>
        <w:ind w:firstLine="640" w:firstLineChars="200"/>
        <w:rPr>
          <w:rFonts w:ascii="仿宋" w:hAnsi="仿宋" w:eastAsia="仿宋"/>
          <w:sz w:val="32"/>
          <w:szCs w:val="32"/>
        </w:rPr>
      </w:pPr>
      <w:r>
        <w:rPr>
          <w:rFonts w:hint="eastAsia" w:ascii="仿宋" w:hAnsi="仿宋" w:eastAsia="仿宋"/>
          <w:sz w:val="32"/>
          <w:szCs w:val="32"/>
        </w:rPr>
        <w:t>按照“十四五”规划对于加快数字化发展的要求，以及新时期信创要求规范和公积金事业发展要求，中心以“先外围</w:t>
      </w:r>
      <w:r>
        <w:rPr>
          <w:rFonts w:hint="eastAsia" w:ascii="仿宋" w:hAnsi="仿宋" w:eastAsia="仿宋"/>
          <w:sz w:val="32"/>
          <w:szCs w:val="32"/>
          <w:lang w:eastAsia="zh-CN"/>
        </w:rPr>
        <w:t>、</w:t>
      </w:r>
      <w:r>
        <w:rPr>
          <w:rFonts w:hint="eastAsia" w:ascii="仿宋" w:hAnsi="仿宋" w:eastAsia="仿宋"/>
          <w:sz w:val="32"/>
          <w:szCs w:val="32"/>
        </w:rPr>
        <w:t>后核心”“先前端</w:t>
      </w:r>
      <w:r>
        <w:rPr>
          <w:rFonts w:hint="eastAsia" w:ascii="仿宋" w:hAnsi="仿宋" w:eastAsia="仿宋"/>
          <w:sz w:val="32"/>
          <w:szCs w:val="32"/>
          <w:lang w:eastAsia="zh-CN"/>
        </w:rPr>
        <w:t>、</w:t>
      </w:r>
      <w:r>
        <w:rPr>
          <w:rFonts w:hint="eastAsia" w:ascii="仿宋" w:hAnsi="仿宋" w:eastAsia="仿宋"/>
          <w:sz w:val="32"/>
          <w:szCs w:val="32"/>
        </w:rPr>
        <w:t>再后端”为原则，以“整体规划、分步实施”为路径加快推进信创全面转型升级，实现关键核心技术自主可控、适应需求、结构完善、功能先进，强化信息基础设施保护，切实提高中心系统自主可控水平。</w:t>
      </w:r>
    </w:p>
    <w:p w14:paraId="12A4B01C">
      <w:pPr>
        <w:spacing w:line="720" w:lineRule="exact"/>
        <w:ind w:firstLine="640" w:firstLineChars="200"/>
        <w:rPr>
          <w:rFonts w:ascii="仿宋" w:hAnsi="仿宋" w:eastAsia="仿宋"/>
          <w:sz w:val="32"/>
          <w:szCs w:val="32"/>
        </w:rPr>
      </w:pPr>
      <w:r>
        <w:rPr>
          <w:rFonts w:hint="eastAsia" w:ascii="仿宋" w:hAnsi="仿宋" w:eastAsia="仿宋"/>
          <w:sz w:val="32"/>
          <w:szCs w:val="32"/>
        </w:rPr>
        <w:t>同时，借鉴外地中心先进经验，为有效确保中心数据安全，计划采购具有自主知识产权的国产数据库产品，并委托第三方独立负责数据库运维，业务系统、电子档案等其他厂家只负责各自系统的运维工作。</w:t>
      </w:r>
    </w:p>
    <w:p w14:paraId="6D41E280">
      <w:pPr>
        <w:spacing w:line="720" w:lineRule="exact"/>
        <w:ind w:firstLine="640" w:firstLineChars="200"/>
        <w:rPr>
          <w:rFonts w:ascii="黑体" w:hAnsi="黑体" w:eastAsia="黑体"/>
          <w:sz w:val="32"/>
          <w:szCs w:val="32"/>
        </w:rPr>
      </w:pPr>
      <w:r>
        <w:rPr>
          <w:rFonts w:hint="eastAsia" w:ascii="黑体" w:hAnsi="黑体" w:eastAsia="黑体"/>
          <w:sz w:val="32"/>
          <w:szCs w:val="32"/>
        </w:rPr>
        <w:t>五、项目规划</w:t>
      </w:r>
    </w:p>
    <w:p w14:paraId="4ECD6386">
      <w:pPr>
        <w:spacing w:line="720" w:lineRule="exact"/>
        <w:ind w:firstLine="640" w:firstLineChars="200"/>
        <w:rPr>
          <w:rFonts w:ascii="仿宋" w:hAnsi="仿宋" w:eastAsia="仿宋"/>
          <w:sz w:val="32"/>
          <w:szCs w:val="32"/>
        </w:rPr>
      </w:pPr>
      <w:r>
        <w:rPr>
          <w:rFonts w:hint="eastAsia" w:ascii="仿宋" w:hAnsi="仿宋" w:eastAsia="仿宋"/>
          <w:sz w:val="32"/>
          <w:szCs w:val="32"/>
        </w:rPr>
        <w:t>本次信息系统建设采取总体规划，分步实施的原则，规划分为三年，具体规划如下：</w:t>
      </w:r>
    </w:p>
    <w:p w14:paraId="55BF6EF7">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（一）第一阶段：2023-2024年，立足中心效能提升，提升业务、服务、管理等核心能力</w:t>
      </w:r>
    </w:p>
    <w:p w14:paraId="282AAA20">
      <w:pPr>
        <w:spacing w:line="720" w:lineRule="exact"/>
        <w:ind w:firstLine="640" w:firstLineChars="200"/>
        <w:rPr>
          <w:rFonts w:ascii="仿宋" w:hAnsi="仿宋" w:eastAsia="仿宋"/>
          <w:sz w:val="32"/>
          <w:szCs w:val="32"/>
        </w:rPr>
      </w:pPr>
      <w:r>
        <w:rPr>
          <w:rFonts w:hint="eastAsia" w:ascii="仿宋" w:hAnsi="仿宋" w:eastAsia="仿宋"/>
          <w:sz w:val="32"/>
          <w:szCs w:val="32"/>
        </w:rPr>
        <w:t>基于当前中心已有信息化成果，重点针对中心整体效能提升进行查漏补缺，围绕业务及服务效能提升建设业务不见面服务系统、线上线下融合系统</w:t>
      </w:r>
      <w:r>
        <w:rPr>
          <w:rFonts w:hint="eastAsia" w:ascii="仿宋" w:hAnsi="仿宋" w:eastAsia="仿宋"/>
          <w:sz w:val="32"/>
          <w:szCs w:val="32"/>
          <w:lang w:eastAsia="zh-CN"/>
        </w:rPr>
        <w:t>和</w:t>
      </w:r>
      <w:r>
        <w:rPr>
          <w:rFonts w:hint="eastAsia" w:ascii="仿宋" w:hAnsi="仿宋" w:eastAsia="仿宋"/>
          <w:sz w:val="32"/>
          <w:szCs w:val="32"/>
        </w:rPr>
        <w:t>电子档案系统，围绕管理效能提升建设稽核审计系统，围绕基础支撑安全开展信创外围产品适配工作。</w:t>
      </w:r>
    </w:p>
    <w:p w14:paraId="55E35F66">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（二）第二阶段：2024-2025年，聚焦中心整体发展，重构新一代信息系统，数据赋能推动中心数字化转型</w:t>
      </w:r>
    </w:p>
    <w:p w14:paraId="20E45B34">
      <w:pPr>
        <w:spacing w:line="720" w:lineRule="exact"/>
        <w:ind w:firstLine="640" w:firstLineChars="200"/>
        <w:rPr>
          <w:rFonts w:ascii="仿宋" w:hAnsi="仿宋" w:eastAsia="仿宋"/>
          <w:sz w:val="32"/>
          <w:szCs w:val="32"/>
        </w:rPr>
      </w:pPr>
      <w:r>
        <w:rPr>
          <w:rFonts w:hint="eastAsia" w:ascii="仿宋" w:hAnsi="仿宋" w:eastAsia="仿宋"/>
          <w:sz w:val="32"/>
          <w:szCs w:val="32"/>
        </w:rPr>
        <w:t>以中心整体数字化发展为核心主线，重点聚焦业务服务能力提升以及数据赋能，打造新一代信息系统，涵盖业务经办平台、公众服务平台、数据治理及应用平台；同时全面开展信创适配工作，将数字化转型融入新一代信息系统建设过程，打造数字化公积金信息系统。</w:t>
      </w:r>
    </w:p>
    <w:p w14:paraId="153D6A92">
      <w:pPr>
        <w:spacing w:line="720" w:lineRule="exact"/>
        <w:ind w:firstLine="640" w:firstLineChars="200"/>
        <w:rPr>
          <w:rFonts w:ascii="楷体_GB2312" w:hAnsi="仿宋" w:eastAsia="楷体_GB2312"/>
          <w:sz w:val="32"/>
          <w:szCs w:val="32"/>
        </w:rPr>
      </w:pPr>
      <w:r>
        <w:rPr>
          <w:rFonts w:hint="eastAsia" w:ascii="楷体_GB2312" w:hAnsi="仿宋" w:eastAsia="楷体_GB2312"/>
          <w:sz w:val="32"/>
          <w:szCs w:val="32"/>
        </w:rPr>
        <w:t>（三）第三阶段：2025-2026年，全面开启数字征程，赋能中心高质量发展</w:t>
      </w:r>
    </w:p>
    <w:p w14:paraId="66F71C32">
      <w:pPr>
        <w:spacing w:line="720" w:lineRule="exact"/>
        <w:ind w:firstLine="640" w:firstLineChars="200"/>
        <w:rPr>
          <w:rFonts w:ascii="仿宋" w:hAnsi="仿宋" w:eastAsia="仿宋"/>
          <w:sz w:val="32"/>
          <w:szCs w:val="32"/>
        </w:rPr>
      </w:pPr>
      <w:r>
        <w:rPr>
          <w:rFonts w:hint="eastAsia" w:ascii="仿宋" w:hAnsi="仿宋" w:eastAsia="仿宋"/>
          <w:sz w:val="32"/>
          <w:szCs w:val="32"/>
        </w:rPr>
        <w:t>全面上线</w:t>
      </w:r>
      <w:r>
        <w:rPr>
          <w:rFonts w:hint="eastAsia" w:ascii="仿宋" w:hAnsi="仿宋" w:eastAsia="仿宋"/>
          <w:sz w:val="32"/>
          <w:szCs w:val="32"/>
          <w:lang w:eastAsia="zh-CN"/>
        </w:rPr>
        <w:t>和启用</w:t>
      </w:r>
      <w:r>
        <w:rPr>
          <w:rFonts w:hint="eastAsia" w:ascii="仿宋" w:hAnsi="仿宋" w:eastAsia="仿宋"/>
          <w:sz w:val="32"/>
          <w:szCs w:val="32"/>
        </w:rPr>
        <w:t>中心新一代信息系统，全面开启数字化征程，赋能中心高质量发展。</w:t>
      </w:r>
    </w:p>
    <w:p w14:paraId="694CB9FD">
      <w:pPr>
        <w:spacing w:line="720" w:lineRule="exact"/>
        <w:ind w:firstLine="640" w:firstLineChars="200"/>
        <w:rPr>
          <w:rFonts w:ascii="黑体" w:hAnsi="黑体" w:eastAsia="黑体"/>
          <w:sz w:val="32"/>
          <w:szCs w:val="32"/>
        </w:rPr>
      </w:pPr>
      <w:r>
        <w:rPr>
          <w:rFonts w:hint="eastAsia" w:ascii="黑体" w:hAnsi="黑体" w:eastAsia="黑体"/>
          <w:sz w:val="32"/>
          <w:szCs w:val="32"/>
        </w:rPr>
        <w:t>六、考核激励机制</w:t>
      </w:r>
    </w:p>
    <w:p w14:paraId="28B4F146">
      <w:pPr>
        <w:spacing w:line="720" w:lineRule="exact"/>
        <w:ind w:firstLine="640" w:firstLineChars="200"/>
        <w:rPr>
          <w:rFonts w:ascii="仿宋" w:hAnsi="仿宋" w:eastAsia="仿宋"/>
          <w:sz w:val="32"/>
          <w:szCs w:val="32"/>
        </w:rPr>
      </w:pPr>
      <w:r>
        <w:rPr>
          <w:rFonts w:hint="eastAsia" w:ascii="仿宋" w:hAnsi="仿宋" w:eastAsia="仿宋"/>
          <w:sz w:val="32"/>
          <w:szCs w:val="32"/>
        </w:rPr>
        <w:t>为建立高效协同任务落实机制，高质量完成节点任务，充分调动干部职工数字化发展的积极性，树立创新理念，</w:t>
      </w:r>
      <w:r>
        <w:rPr>
          <w:rFonts w:hint="eastAsia" w:ascii="仿宋" w:hAnsi="仿宋" w:eastAsia="仿宋"/>
          <w:sz w:val="32"/>
          <w:szCs w:val="32"/>
          <w:lang w:eastAsia="zh-CN"/>
        </w:rPr>
        <w:t>中心</w:t>
      </w:r>
      <w:r>
        <w:rPr>
          <w:rFonts w:hint="eastAsia" w:ascii="仿宋" w:hAnsi="仿宋" w:eastAsia="仿宋"/>
          <w:sz w:val="32"/>
          <w:szCs w:val="32"/>
        </w:rPr>
        <w:t>建立数字化发展考核激励机制，具体考评指标体系如下表所示。</w:t>
      </w:r>
    </w:p>
    <w:p w14:paraId="3D31FCB0">
      <w:pPr>
        <w:numPr>
          <w:ilvl w:val="0"/>
          <w:numId w:val="1"/>
        </w:numPr>
        <w:spacing w:line="720" w:lineRule="exact"/>
        <w:ind w:firstLine="640" w:firstLineChars="200"/>
        <w:rPr>
          <w:rFonts w:ascii="仿宋" w:hAnsi="仿宋" w:eastAsia="仿宋"/>
          <w:sz w:val="32"/>
          <w:szCs w:val="32"/>
        </w:rPr>
      </w:pPr>
      <w:r>
        <w:rPr>
          <w:rFonts w:hint="eastAsia" w:ascii="仿宋" w:hAnsi="仿宋" w:eastAsia="仿宋"/>
          <w:sz w:val="32"/>
          <w:szCs w:val="32"/>
        </w:rPr>
        <w:t>工作落实：本部门积极落实中心数字化发展规划，召开部门会议安排部署。（20分）</w:t>
      </w:r>
    </w:p>
    <w:p w14:paraId="6CFF6E26">
      <w:pPr>
        <w:numPr>
          <w:ilvl w:val="0"/>
          <w:numId w:val="1"/>
        </w:numPr>
        <w:spacing w:line="720" w:lineRule="exact"/>
        <w:ind w:left="0" w:leftChars="0" w:firstLine="640" w:firstLineChars="200"/>
        <w:rPr>
          <w:rFonts w:ascii="仿宋" w:hAnsi="仿宋" w:eastAsia="仿宋"/>
          <w:sz w:val="32"/>
          <w:szCs w:val="32"/>
        </w:rPr>
      </w:pPr>
      <w:r>
        <w:rPr>
          <w:rFonts w:hint="eastAsia" w:ascii="仿宋" w:hAnsi="仿宋" w:eastAsia="仿宋"/>
          <w:sz w:val="32"/>
          <w:szCs w:val="32"/>
        </w:rPr>
        <w:t>工作创新：各部门至少提出一项数字化发展合理化建议，力争新颖、先进和实用。（20分）</w:t>
      </w:r>
    </w:p>
    <w:p w14:paraId="60DBDE6E">
      <w:pPr>
        <w:numPr>
          <w:ilvl w:val="0"/>
          <w:numId w:val="1"/>
        </w:numPr>
        <w:spacing w:line="720" w:lineRule="exact"/>
        <w:ind w:left="0" w:leftChars="0" w:firstLine="640" w:firstLineChars="200"/>
        <w:rPr>
          <w:rFonts w:ascii="仿宋" w:hAnsi="仿宋" w:eastAsia="仿宋"/>
          <w:sz w:val="32"/>
          <w:szCs w:val="32"/>
        </w:rPr>
      </w:pPr>
      <w:r>
        <w:rPr>
          <w:rFonts w:hint="eastAsia" w:ascii="仿宋" w:hAnsi="仿宋" w:eastAsia="仿宋"/>
          <w:sz w:val="32"/>
          <w:szCs w:val="32"/>
        </w:rPr>
        <w:t>工作配合：服从中心工作安排，部门设置专岗负责数字化发展工作，团结合作。（20分）</w:t>
      </w:r>
    </w:p>
    <w:p w14:paraId="1E1538DC">
      <w:pPr>
        <w:numPr>
          <w:ilvl w:val="0"/>
          <w:numId w:val="1"/>
        </w:numPr>
        <w:spacing w:line="720" w:lineRule="exact"/>
        <w:ind w:left="0" w:leftChars="0" w:firstLine="640" w:firstLineChars="200"/>
        <w:rPr>
          <w:rFonts w:ascii="仿宋" w:hAnsi="仿宋" w:eastAsia="仿宋"/>
          <w:sz w:val="32"/>
          <w:szCs w:val="32"/>
        </w:rPr>
      </w:pPr>
      <w:r>
        <w:rPr>
          <w:rFonts w:hint="eastAsia" w:ascii="仿宋" w:hAnsi="仿宋" w:eastAsia="仿宋"/>
          <w:sz w:val="32"/>
          <w:szCs w:val="32"/>
        </w:rPr>
        <w:t>工作开展：按照中心要求，认真完成中心安排的各节点需求、测试、修改完善及试运行等各项工作。（20分）</w:t>
      </w:r>
    </w:p>
    <w:p w14:paraId="13141F48">
      <w:pPr>
        <w:numPr>
          <w:ilvl w:val="0"/>
          <w:numId w:val="1"/>
        </w:numPr>
        <w:spacing w:line="720" w:lineRule="exact"/>
        <w:ind w:left="0" w:leftChars="0" w:firstLine="640" w:firstLineChars="200"/>
        <w:rPr>
          <w:rFonts w:ascii="仿宋" w:hAnsi="仿宋" w:eastAsia="仿宋"/>
          <w:sz w:val="32"/>
          <w:szCs w:val="32"/>
        </w:rPr>
      </w:pPr>
      <w:r>
        <w:rPr>
          <w:rFonts w:hint="eastAsia" w:ascii="仿宋" w:hAnsi="仿宋" w:eastAsia="仿宋"/>
          <w:sz w:val="32"/>
          <w:szCs w:val="32"/>
        </w:rPr>
        <w:t>工作完成：本年度部门数字化发展工作目标顺利完成，符合中心要求。（20分）</w:t>
      </w:r>
    </w:p>
    <w:p w14:paraId="5FA44586">
      <w:pPr>
        <w:spacing w:line="720" w:lineRule="exact"/>
        <w:ind w:firstLine="640" w:firstLineChars="200"/>
        <w:rPr>
          <w:rFonts w:ascii="仿宋" w:hAnsi="仿宋" w:eastAsia="仿宋"/>
          <w:sz w:val="32"/>
          <w:szCs w:val="32"/>
        </w:rPr>
      </w:pPr>
      <w:r>
        <w:rPr>
          <w:rFonts w:hint="eastAsia" w:ascii="仿宋" w:hAnsi="仿宋" w:eastAsia="仿宋"/>
          <w:sz w:val="32"/>
          <w:szCs w:val="32"/>
        </w:rPr>
        <w:t>考核分值为100分，85分以上为优秀，60-85分为合格，60分以下为不合格。考核工作由中心办公室和技术服务科共同完成，对于优秀部门给予表彰，对于不合格部门通报批评。</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194"/>
      <w:docPartObj>
        <w:docPartGallery w:val="autotext"/>
      </w:docPartObj>
    </w:sdtPr>
    <w:sdtContent>
      <w:p w14:paraId="7AB118D0">
        <w:pPr>
          <w:pStyle w:val="3"/>
          <w:jc w:val="center"/>
        </w:pPr>
        <w:r>
          <w:fldChar w:fldCharType="begin"/>
        </w:r>
        <w:r>
          <w:instrText xml:space="preserve"> PAGE   \* MERGEFORMAT </w:instrText>
        </w:r>
        <w:r>
          <w:fldChar w:fldCharType="separate"/>
        </w:r>
        <w:r>
          <w:rPr>
            <w:lang w:val="zh-CN"/>
          </w:rPr>
          <w:t>-</w:t>
        </w:r>
        <w:r>
          <w:t xml:space="preserve"> 7 -</w:t>
        </w:r>
        <w:r>
          <w:fldChar w:fldCharType="end"/>
        </w:r>
      </w:p>
    </w:sdtContent>
  </w:sdt>
  <w:p w14:paraId="2FBB83B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83325"/>
    <w:multiLevelType w:val="singleLevel"/>
    <w:tmpl w:val="7B78332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ODhkOGJmZjRlM2RmODMwYTYxZTcyOGRhOGRhNTQifQ=="/>
  </w:docVars>
  <w:rsids>
    <w:rsidRoot w:val="007E5F08"/>
    <w:rsid w:val="000600B4"/>
    <w:rsid w:val="000842A6"/>
    <w:rsid w:val="00122601"/>
    <w:rsid w:val="0020637B"/>
    <w:rsid w:val="00231C61"/>
    <w:rsid w:val="00282007"/>
    <w:rsid w:val="002C1B7E"/>
    <w:rsid w:val="00307B33"/>
    <w:rsid w:val="00352B36"/>
    <w:rsid w:val="0036261D"/>
    <w:rsid w:val="00441A68"/>
    <w:rsid w:val="00444BC2"/>
    <w:rsid w:val="00470D47"/>
    <w:rsid w:val="004B2BDD"/>
    <w:rsid w:val="004D2883"/>
    <w:rsid w:val="00515005"/>
    <w:rsid w:val="00595E1C"/>
    <w:rsid w:val="005F61CA"/>
    <w:rsid w:val="00697B35"/>
    <w:rsid w:val="006D5C9B"/>
    <w:rsid w:val="00765749"/>
    <w:rsid w:val="007C6046"/>
    <w:rsid w:val="007D42F4"/>
    <w:rsid w:val="007E5F08"/>
    <w:rsid w:val="007F3C61"/>
    <w:rsid w:val="00842255"/>
    <w:rsid w:val="00846438"/>
    <w:rsid w:val="008472C2"/>
    <w:rsid w:val="00856404"/>
    <w:rsid w:val="008722A7"/>
    <w:rsid w:val="008845BD"/>
    <w:rsid w:val="009561DB"/>
    <w:rsid w:val="00957F9B"/>
    <w:rsid w:val="009A4893"/>
    <w:rsid w:val="009E0DC0"/>
    <w:rsid w:val="00A21B1A"/>
    <w:rsid w:val="00A47722"/>
    <w:rsid w:val="00A837A5"/>
    <w:rsid w:val="00AA1896"/>
    <w:rsid w:val="00B2496D"/>
    <w:rsid w:val="00B70DA0"/>
    <w:rsid w:val="00B82D83"/>
    <w:rsid w:val="00BB4DB3"/>
    <w:rsid w:val="00C14674"/>
    <w:rsid w:val="00C233A5"/>
    <w:rsid w:val="00C47AD0"/>
    <w:rsid w:val="00C75852"/>
    <w:rsid w:val="00CB2B52"/>
    <w:rsid w:val="00CE7FE0"/>
    <w:rsid w:val="00D07078"/>
    <w:rsid w:val="00D237F4"/>
    <w:rsid w:val="00D60D20"/>
    <w:rsid w:val="00D6291B"/>
    <w:rsid w:val="00DB3D43"/>
    <w:rsid w:val="00E268B5"/>
    <w:rsid w:val="00EA09AC"/>
    <w:rsid w:val="00EA6ABB"/>
    <w:rsid w:val="00EE2102"/>
    <w:rsid w:val="00F45FB4"/>
    <w:rsid w:val="00F807AA"/>
    <w:rsid w:val="00FB30B2"/>
    <w:rsid w:val="00FC02DA"/>
    <w:rsid w:val="00FC3663"/>
    <w:rsid w:val="00FC51ED"/>
    <w:rsid w:val="00FC7239"/>
    <w:rsid w:val="017B596D"/>
    <w:rsid w:val="1BFB550C"/>
    <w:rsid w:val="1DAC2B32"/>
    <w:rsid w:val="2D8D5C78"/>
    <w:rsid w:val="2F360358"/>
    <w:rsid w:val="3ED8151A"/>
    <w:rsid w:val="492A0E97"/>
    <w:rsid w:val="4BAE3935"/>
    <w:rsid w:val="4C9E69ED"/>
    <w:rsid w:val="57E54F4D"/>
    <w:rsid w:val="5BF4039D"/>
    <w:rsid w:val="60DC497F"/>
    <w:rsid w:val="68B0223F"/>
    <w:rsid w:val="6AB7748A"/>
    <w:rsid w:val="78F148B5"/>
    <w:rsid w:val="7B3B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autoRedefine/>
    <w:semiHidden/>
    <w:unhideWhenUsed/>
    <w:uiPriority w:val="99"/>
    <w:pPr>
      <w:ind w:left="100" w:leftChars="2500"/>
    </w:pPr>
  </w:style>
  <w:style w:type="paragraph" w:styleId="3">
    <w:name w:val="footer"/>
    <w:basedOn w:val="1"/>
    <w:link w:val="9"/>
    <w:autoRedefine/>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uiPriority w:val="99"/>
  </w:style>
  <w:style w:type="character" w:customStyle="1" w:styleId="8">
    <w:name w:val="页眉 Char"/>
    <w:basedOn w:val="6"/>
    <w:link w:val="4"/>
    <w:autoRedefine/>
    <w:semiHidden/>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3097</Words>
  <Characters>3145</Characters>
  <Lines>63</Lines>
  <Paragraphs>17</Paragraphs>
  <TotalTime>204</TotalTime>
  <ScaleCrop>false</ScaleCrop>
  <LinksUpToDate>false</LinksUpToDate>
  <CharactersWithSpaces>3165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2024-01-08T03:57:00Z</dcterms:created>
  <dc:creator>Administrator</dc:creator>
  <cp:lastModifiedBy>海鸥</cp:lastModifiedBy>
  <cp:lastPrinted>2023-11-20T08:15:00Z</cp:lastPrinted>
  <dcterms:modified xsi:type="dcterms:W3CDTF">2026-02-14T08:06:04Z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3860F09AD38F4DA2946CC00B2AA8E452_13</vt:lpwstr>
  </property>
</Properties>
</file>