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120" w:after="120"/>
        <w:jc w:val="center"/>
        <w:rPr>
          <w:rFonts w:ascii="黑体" w:hAnsi="黑体" w:eastAsia="黑体"/>
          <w:b w:val="0"/>
        </w:rPr>
      </w:pPr>
      <w:r>
        <w:rPr>
          <w:rFonts w:hint="eastAsia" w:ascii="黑体" w:hAnsi="黑体" w:eastAsia="黑体"/>
          <w:b w:val="0"/>
        </w:rPr>
        <w:t>三门峡市住房公积金网上业务受理单</w:t>
      </w:r>
    </w:p>
    <w:tbl>
      <w:tblPr>
        <w:tblStyle w:val="6"/>
        <w:tblpPr w:leftFromText="180" w:rightFromText="180" w:vertAnchor="text" w:horzAnchor="page" w:tblpXSpec="center" w:tblpY="250"/>
        <w:tblOverlap w:val="never"/>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09"/>
        <w:gridCol w:w="410"/>
        <w:gridCol w:w="410"/>
        <w:gridCol w:w="411"/>
        <w:gridCol w:w="411"/>
        <w:gridCol w:w="410"/>
        <w:gridCol w:w="411"/>
        <w:gridCol w:w="106"/>
        <w:gridCol w:w="304"/>
        <w:gridCol w:w="411"/>
        <w:gridCol w:w="425"/>
        <w:gridCol w:w="396"/>
        <w:gridCol w:w="411"/>
        <w:gridCol w:w="410"/>
        <w:gridCol w:w="411"/>
        <w:gridCol w:w="411"/>
        <w:gridCol w:w="410"/>
        <w:gridCol w:w="411"/>
        <w:gridCol w:w="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36" w:type="dxa"/>
            <w:vAlign w:val="center"/>
          </w:tcPr>
          <w:p>
            <w:pPr>
              <w:jc w:val="center"/>
              <w:rPr>
                <w:sz w:val="24"/>
              </w:rPr>
            </w:pPr>
            <w:r>
              <w:rPr>
                <w:rFonts w:hint="eastAsia"/>
                <w:sz w:val="24"/>
              </w:rPr>
              <w:t>单位名称</w:t>
            </w:r>
          </w:p>
        </w:tc>
        <w:tc>
          <w:tcPr>
            <w:tcW w:w="7393" w:type="dxa"/>
            <w:gridSpan w:val="19"/>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36" w:type="dxa"/>
            <w:vAlign w:val="center"/>
          </w:tcPr>
          <w:p>
            <w:pPr>
              <w:jc w:val="center"/>
              <w:rPr>
                <w:sz w:val="24"/>
              </w:rPr>
            </w:pPr>
            <w:r>
              <w:rPr>
                <w:rFonts w:hint="eastAsia"/>
                <w:sz w:val="24"/>
              </w:rPr>
              <w:t>单位账号</w:t>
            </w:r>
          </w:p>
        </w:tc>
        <w:tc>
          <w:tcPr>
            <w:tcW w:w="2872" w:type="dxa"/>
            <w:gridSpan w:val="7"/>
            <w:vAlign w:val="center"/>
          </w:tcPr>
          <w:p>
            <w:pPr>
              <w:rPr>
                <w:sz w:val="24"/>
              </w:rPr>
            </w:pPr>
          </w:p>
        </w:tc>
        <w:tc>
          <w:tcPr>
            <w:tcW w:w="1246" w:type="dxa"/>
            <w:gridSpan w:val="4"/>
            <w:vAlign w:val="center"/>
          </w:tcPr>
          <w:p>
            <w:pPr>
              <w:jc w:val="center"/>
              <w:rPr>
                <w:sz w:val="24"/>
              </w:rPr>
            </w:pPr>
            <w:r>
              <w:rPr>
                <w:rFonts w:hint="eastAsia"/>
                <w:sz w:val="24"/>
              </w:rPr>
              <w:t>网上业务</w:t>
            </w:r>
          </w:p>
        </w:tc>
        <w:tc>
          <w:tcPr>
            <w:tcW w:w="3275" w:type="dxa"/>
            <w:gridSpan w:val="8"/>
            <w:vAlign w:val="center"/>
          </w:tcPr>
          <w:p>
            <w:pPr>
              <w:jc w:val="center"/>
              <w:rPr>
                <w:sz w:val="24"/>
              </w:rPr>
            </w:pPr>
            <w:r>
              <w:rPr>
                <w:rFonts w:hint="eastAsia" w:ascii="宋体" w:hAnsi="宋体"/>
                <w:sz w:val="24"/>
              </w:rPr>
              <w:t>□</w:t>
            </w:r>
            <w:r>
              <w:rPr>
                <w:rFonts w:hint="eastAsia"/>
                <w:sz w:val="24"/>
              </w:rPr>
              <w:t xml:space="preserve">开通 </w:t>
            </w:r>
            <w:r>
              <w:rPr>
                <w:rFonts w:hint="eastAsia" w:ascii="宋体" w:hAnsi="宋体"/>
                <w:sz w:val="24"/>
              </w:rPr>
              <w:t>□</w:t>
            </w:r>
            <w:r>
              <w:rPr>
                <w:rFonts w:hint="eastAsia"/>
                <w:sz w:val="24"/>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36" w:type="dxa"/>
            <w:vAlign w:val="center"/>
          </w:tcPr>
          <w:p>
            <w:pPr>
              <w:jc w:val="center"/>
              <w:rPr>
                <w:sz w:val="24"/>
              </w:rPr>
            </w:pPr>
            <w:r>
              <w:rPr>
                <w:rFonts w:hint="eastAsia"/>
                <w:sz w:val="24"/>
              </w:rPr>
              <w:t>法定代表人姓名</w:t>
            </w:r>
          </w:p>
        </w:tc>
        <w:tc>
          <w:tcPr>
            <w:tcW w:w="2872" w:type="dxa"/>
            <w:gridSpan w:val="7"/>
            <w:vAlign w:val="center"/>
          </w:tcPr>
          <w:p>
            <w:pPr>
              <w:rPr>
                <w:sz w:val="24"/>
              </w:rPr>
            </w:pPr>
          </w:p>
        </w:tc>
        <w:tc>
          <w:tcPr>
            <w:tcW w:w="1246" w:type="dxa"/>
            <w:gridSpan w:val="4"/>
            <w:vAlign w:val="center"/>
          </w:tcPr>
          <w:p>
            <w:pPr>
              <w:jc w:val="center"/>
              <w:rPr>
                <w:sz w:val="24"/>
              </w:rPr>
            </w:pPr>
            <w:r>
              <w:rPr>
                <w:rFonts w:hint="eastAsia"/>
                <w:sz w:val="24"/>
              </w:rPr>
              <w:t>联系电话</w:t>
            </w:r>
          </w:p>
        </w:tc>
        <w:tc>
          <w:tcPr>
            <w:tcW w:w="3275" w:type="dxa"/>
            <w:gridSpan w:val="8"/>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36" w:type="dxa"/>
            <w:tcBorders>
              <w:bottom w:val="single" w:color="auto" w:sz="4" w:space="0"/>
            </w:tcBorders>
            <w:vAlign w:val="center"/>
          </w:tcPr>
          <w:p>
            <w:pPr>
              <w:jc w:val="center"/>
              <w:rPr>
                <w:sz w:val="24"/>
              </w:rPr>
            </w:pPr>
            <w:r>
              <w:rPr>
                <w:rFonts w:hint="eastAsia"/>
                <w:sz w:val="24"/>
              </w:rPr>
              <w:t>身份证号</w:t>
            </w:r>
          </w:p>
        </w:tc>
        <w:tc>
          <w:tcPr>
            <w:tcW w:w="409" w:type="dxa"/>
            <w:tcBorders>
              <w:bottom w:val="single" w:color="auto" w:sz="4" w:space="0"/>
            </w:tcBorders>
            <w:vAlign w:val="center"/>
          </w:tcPr>
          <w:p>
            <w:pPr>
              <w:jc w:val="center"/>
              <w:rPr>
                <w:rFonts w:ascii="宋体" w:hAnsi="宋体"/>
                <w:sz w:val="24"/>
              </w:rPr>
            </w:pPr>
          </w:p>
        </w:tc>
        <w:tc>
          <w:tcPr>
            <w:tcW w:w="410" w:type="dxa"/>
            <w:tcBorders>
              <w:bottom w:val="single" w:color="auto" w:sz="4" w:space="0"/>
            </w:tcBorders>
            <w:vAlign w:val="center"/>
          </w:tcPr>
          <w:p>
            <w:pPr>
              <w:jc w:val="center"/>
              <w:rPr>
                <w:rFonts w:ascii="宋体" w:hAnsi="宋体"/>
                <w:sz w:val="24"/>
              </w:rPr>
            </w:pPr>
          </w:p>
        </w:tc>
        <w:tc>
          <w:tcPr>
            <w:tcW w:w="410" w:type="dxa"/>
            <w:tcBorders>
              <w:bottom w:val="single" w:color="auto" w:sz="4" w:space="0"/>
            </w:tcBorders>
            <w:vAlign w:val="center"/>
          </w:tcPr>
          <w:p>
            <w:pPr>
              <w:jc w:val="center"/>
              <w:rPr>
                <w:rFonts w:ascii="宋体" w:hAnsi="宋体"/>
                <w:sz w:val="24"/>
              </w:rPr>
            </w:pPr>
          </w:p>
        </w:tc>
        <w:tc>
          <w:tcPr>
            <w:tcW w:w="411" w:type="dxa"/>
            <w:tcBorders>
              <w:bottom w:val="single" w:color="auto" w:sz="4" w:space="0"/>
            </w:tcBorders>
            <w:vAlign w:val="center"/>
          </w:tcPr>
          <w:p>
            <w:pPr>
              <w:jc w:val="center"/>
              <w:rPr>
                <w:rFonts w:ascii="宋体" w:hAnsi="宋体"/>
                <w:sz w:val="24"/>
              </w:rPr>
            </w:pPr>
          </w:p>
        </w:tc>
        <w:tc>
          <w:tcPr>
            <w:tcW w:w="411" w:type="dxa"/>
            <w:tcBorders>
              <w:bottom w:val="single" w:color="auto" w:sz="4" w:space="0"/>
            </w:tcBorders>
            <w:vAlign w:val="center"/>
          </w:tcPr>
          <w:p>
            <w:pPr>
              <w:jc w:val="center"/>
              <w:rPr>
                <w:rFonts w:ascii="宋体" w:hAnsi="宋体"/>
                <w:sz w:val="24"/>
              </w:rPr>
            </w:pPr>
          </w:p>
        </w:tc>
        <w:tc>
          <w:tcPr>
            <w:tcW w:w="410" w:type="dxa"/>
            <w:tcBorders>
              <w:bottom w:val="single" w:color="auto" w:sz="4" w:space="0"/>
            </w:tcBorders>
            <w:vAlign w:val="center"/>
          </w:tcPr>
          <w:p>
            <w:pPr>
              <w:jc w:val="center"/>
              <w:rPr>
                <w:rFonts w:ascii="宋体" w:hAnsi="宋体"/>
                <w:sz w:val="24"/>
              </w:rPr>
            </w:pPr>
          </w:p>
        </w:tc>
        <w:tc>
          <w:tcPr>
            <w:tcW w:w="411" w:type="dxa"/>
            <w:tcBorders>
              <w:bottom w:val="single" w:color="auto" w:sz="4" w:space="0"/>
            </w:tcBorders>
            <w:vAlign w:val="center"/>
          </w:tcPr>
          <w:p>
            <w:pPr>
              <w:jc w:val="center"/>
              <w:rPr>
                <w:rFonts w:ascii="宋体" w:hAnsi="宋体"/>
                <w:sz w:val="24"/>
              </w:rPr>
            </w:pPr>
          </w:p>
        </w:tc>
        <w:tc>
          <w:tcPr>
            <w:tcW w:w="410" w:type="dxa"/>
            <w:gridSpan w:val="2"/>
            <w:tcBorders>
              <w:bottom w:val="single" w:color="auto" w:sz="4" w:space="0"/>
            </w:tcBorders>
            <w:vAlign w:val="center"/>
          </w:tcPr>
          <w:p>
            <w:pPr>
              <w:jc w:val="center"/>
              <w:rPr>
                <w:rFonts w:ascii="宋体" w:hAnsi="宋体"/>
                <w:sz w:val="24"/>
              </w:rPr>
            </w:pPr>
          </w:p>
        </w:tc>
        <w:tc>
          <w:tcPr>
            <w:tcW w:w="411" w:type="dxa"/>
            <w:tcBorders>
              <w:bottom w:val="single" w:color="auto" w:sz="4" w:space="0"/>
            </w:tcBorders>
            <w:vAlign w:val="center"/>
          </w:tcPr>
          <w:p>
            <w:pPr>
              <w:jc w:val="center"/>
              <w:rPr>
                <w:rFonts w:ascii="宋体" w:hAnsi="宋体"/>
                <w:sz w:val="24"/>
              </w:rPr>
            </w:pPr>
          </w:p>
        </w:tc>
        <w:tc>
          <w:tcPr>
            <w:tcW w:w="425" w:type="dxa"/>
            <w:tcBorders>
              <w:bottom w:val="single" w:color="auto" w:sz="4" w:space="0"/>
            </w:tcBorders>
            <w:vAlign w:val="center"/>
          </w:tcPr>
          <w:p>
            <w:pPr>
              <w:jc w:val="center"/>
              <w:rPr>
                <w:rFonts w:ascii="宋体" w:hAnsi="宋体"/>
                <w:sz w:val="24"/>
              </w:rPr>
            </w:pPr>
          </w:p>
        </w:tc>
        <w:tc>
          <w:tcPr>
            <w:tcW w:w="396" w:type="dxa"/>
            <w:tcBorders>
              <w:bottom w:val="single" w:color="auto" w:sz="4" w:space="0"/>
            </w:tcBorders>
            <w:vAlign w:val="center"/>
          </w:tcPr>
          <w:p>
            <w:pPr>
              <w:jc w:val="center"/>
              <w:rPr>
                <w:rFonts w:ascii="宋体" w:hAnsi="宋体"/>
                <w:sz w:val="24"/>
              </w:rPr>
            </w:pPr>
          </w:p>
        </w:tc>
        <w:tc>
          <w:tcPr>
            <w:tcW w:w="411" w:type="dxa"/>
            <w:tcBorders>
              <w:bottom w:val="single" w:color="auto" w:sz="4" w:space="0"/>
            </w:tcBorders>
            <w:vAlign w:val="center"/>
          </w:tcPr>
          <w:p>
            <w:pPr>
              <w:jc w:val="center"/>
              <w:rPr>
                <w:rFonts w:ascii="宋体" w:hAnsi="宋体"/>
                <w:sz w:val="24"/>
              </w:rPr>
            </w:pPr>
          </w:p>
        </w:tc>
        <w:tc>
          <w:tcPr>
            <w:tcW w:w="410" w:type="dxa"/>
            <w:tcBorders>
              <w:bottom w:val="single" w:color="auto" w:sz="4" w:space="0"/>
            </w:tcBorders>
            <w:vAlign w:val="center"/>
          </w:tcPr>
          <w:p>
            <w:pPr>
              <w:jc w:val="center"/>
              <w:rPr>
                <w:rFonts w:ascii="宋体" w:hAnsi="宋体"/>
                <w:sz w:val="24"/>
              </w:rPr>
            </w:pPr>
          </w:p>
        </w:tc>
        <w:tc>
          <w:tcPr>
            <w:tcW w:w="411" w:type="dxa"/>
            <w:tcBorders>
              <w:bottom w:val="single" w:color="auto" w:sz="4" w:space="0"/>
            </w:tcBorders>
            <w:vAlign w:val="center"/>
          </w:tcPr>
          <w:p>
            <w:pPr>
              <w:jc w:val="center"/>
              <w:rPr>
                <w:rFonts w:ascii="宋体" w:hAnsi="宋体"/>
                <w:sz w:val="24"/>
              </w:rPr>
            </w:pPr>
          </w:p>
        </w:tc>
        <w:tc>
          <w:tcPr>
            <w:tcW w:w="411" w:type="dxa"/>
            <w:tcBorders>
              <w:bottom w:val="single" w:color="auto" w:sz="4" w:space="0"/>
            </w:tcBorders>
            <w:vAlign w:val="center"/>
          </w:tcPr>
          <w:p>
            <w:pPr>
              <w:jc w:val="center"/>
              <w:rPr>
                <w:rFonts w:ascii="宋体" w:hAnsi="宋体"/>
                <w:sz w:val="24"/>
              </w:rPr>
            </w:pPr>
          </w:p>
        </w:tc>
        <w:tc>
          <w:tcPr>
            <w:tcW w:w="410" w:type="dxa"/>
            <w:tcBorders>
              <w:bottom w:val="single" w:color="auto" w:sz="4" w:space="0"/>
            </w:tcBorders>
            <w:vAlign w:val="center"/>
          </w:tcPr>
          <w:p>
            <w:pPr>
              <w:jc w:val="center"/>
              <w:rPr>
                <w:rFonts w:ascii="宋体" w:hAnsi="宋体"/>
                <w:sz w:val="24"/>
              </w:rPr>
            </w:pPr>
          </w:p>
        </w:tc>
        <w:tc>
          <w:tcPr>
            <w:tcW w:w="411" w:type="dxa"/>
            <w:tcBorders>
              <w:bottom w:val="single" w:color="auto" w:sz="4" w:space="0"/>
            </w:tcBorders>
            <w:vAlign w:val="center"/>
          </w:tcPr>
          <w:p>
            <w:pPr>
              <w:jc w:val="center"/>
              <w:rPr>
                <w:rFonts w:ascii="宋体" w:hAnsi="宋体"/>
                <w:sz w:val="24"/>
              </w:rPr>
            </w:pPr>
          </w:p>
        </w:tc>
        <w:tc>
          <w:tcPr>
            <w:tcW w:w="415" w:type="dxa"/>
            <w:tcBorders>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trPr>
        <w:tc>
          <w:tcPr>
            <w:tcW w:w="8829" w:type="dxa"/>
            <w:gridSpan w:val="20"/>
            <w:tcBorders>
              <w:bottom w:val="nil"/>
            </w:tcBorders>
            <w:vAlign w:val="center"/>
          </w:tcPr>
          <w:p>
            <w:pPr>
              <w:spacing w:beforeLines="50" w:afterLines="50" w:line="400" w:lineRule="exact"/>
              <w:rPr>
                <w:b/>
                <w:sz w:val="24"/>
              </w:rPr>
            </w:pPr>
            <w:r>
              <w:rPr>
                <w:rFonts w:hint="eastAsia"/>
                <w:b/>
                <w:sz w:val="24"/>
              </w:rPr>
              <w:t>申请单位填写：</w:t>
            </w:r>
          </w:p>
          <w:p>
            <w:pPr>
              <w:spacing w:line="400" w:lineRule="exact"/>
              <w:ind w:firstLine="480" w:firstLineChars="200"/>
              <w:rPr>
                <w:sz w:val="24"/>
              </w:rPr>
            </w:pPr>
            <w:r>
              <w:rPr>
                <w:rFonts w:hint="eastAsia"/>
                <w:sz w:val="24"/>
              </w:rPr>
              <w:t>郑重声明</w:t>
            </w:r>
            <w:r>
              <w:rPr>
                <w:sz w:val="24"/>
              </w:rPr>
              <w:t>：</w:t>
            </w:r>
            <w:r>
              <w:rPr>
                <w:rFonts w:hint="eastAsia"/>
                <w:sz w:val="24"/>
              </w:rPr>
              <w:t>我单位</w:t>
            </w:r>
            <w:r>
              <w:rPr>
                <w:sz w:val="24"/>
              </w:rPr>
              <w:t>已经</w:t>
            </w:r>
            <w:r>
              <w:rPr>
                <w:rFonts w:hint="eastAsia"/>
                <w:sz w:val="24"/>
              </w:rPr>
              <w:t>认真阅读</w:t>
            </w:r>
            <w:r>
              <w:rPr>
                <w:sz w:val="24"/>
              </w:rPr>
              <w:t>理解并予以接受所有协议条款，现</w:t>
            </w:r>
            <w:r>
              <w:rPr>
                <w:rFonts w:hint="eastAsia"/>
                <w:sz w:val="24"/>
              </w:rPr>
              <w:t>授权我单位</w:t>
            </w:r>
          </w:p>
          <w:p>
            <w:pPr>
              <w:numPr>
                <w:ilvl w:val="0"/>
                <w:numId w:val="1"/>
              </w:numPr>
              <w:spacing w:afterLines="50" w:line="520" w:lineRule="exact"/>
              <w:ind w:left="0"/>
              <w:jc w:val="left"/>
              <w:rPr>
                <w:rFonts w:ascii="宋体" w:hAnsi="宋体"/>
                <w:b/>
                <w:sz w:val="24"/>
              </w:rPr>
            </w:pPr>
            <w:r>
              <w:rPr>
                <w:rFonts w:hint="eastAsia"/>
                <w:sz w:val="24"/>
                <w:u w:val="single"/>
              </w:rPr>
              <w:t xml:space="preserve">            </w:t>
            </w:r>
            <w:r>
              <w:rPr>
                <w:rFonts w:hint="eastAsia"/>
                <w:sz w:val="24"/>
              </w:rPr>
              <w:t>（身份证号</w:t>
            </w:r>
            <w:r>
              <w:rPr>
                <w:sz w:val="24"/>
              </w:rPr>
              <w:t>：</w:t>
            </w:r>
            <w:r>
              <w:rPr>
                <w:rFonts w:hint="eastAsia"/>
                <w:sz w:val="24"/>
                <w:u w:val="single"/>
              </w:rPr>
              <w:t xml:space="preserve">                   </w:t>
            </w:r>
            <w:r>
              <w:rPr>
                <w:rFonts w:hint="eastAsia"/>
                <w:sz w:val="24"/>
              </w:rPr>
              <w:t>，</w:t>
            </w:r>
            <w:r>
              <w:rPr>
                <w:sz w:val="24"/>
              </w:rPr>
              <w:t>联系电话：</w:t>
            </w:r>
            <w:r>
              <w:rPr>
                <w:rFonts w:hint="eastAsia"/>
                <w:sz w:val="24"/>
                <w:u w:val="single"/>
              </w:rPr>
              <w:t xml:space="preserve">              </w:t>
            </w:r>
            <w:r>
              <w:rPr>
                <w:rFonts w:hint="eastAsia"/>
                <w:sz w:val="24"/>
              </w:rPr>
              <w:t>）作为经办人</w:t>
            </w:r>
            <w:r>
              <w:rPr>
                <w:sz w:val="24"/>
              </w:rPr>
              <w:t>代为办理</w:t>
            </w:r>
            <w:r>
              <w:rPr>
                <w:rFonts w:hint="eastAsia"/>
                <w:sz w:val="24"/>
              </w:rPr>
              <w:t>本单位</w:t>
            </w:r>
            <w:r>
              <w:rPr>
                <w:sz w:val="24"/>
              </w:rPr>
              <w:t>的住房公积金</w:t>
            </w:r>
            <w:r>
              <w:rPr>
                <w:rFonts w:hint="eastAsia"/>
                <w:sz w:val="24"/>
              </w:rPr>
              <w:t>网上</w:t>
            </w:r>
            <w:r>
              <w:rPr>
                <w:sz w:val="24"/>
              </w:rPr>
              <w:t>业务，包括</w:t>
            </w:r>
            <w:r>
              <w:rPr>
                <w:rFonts w:hint="eastAsia"/>
                <w:sz w:val="24"/>
              </w:rPr>
              <w:t>代为提供申请</w:t>
            </w:r>
            <w:r>
              <w:rPr>
                <w:sz w:val="24"/>
              </w:rPr>
              <w:t>资料、提交办理（</w:t>
            </w:r>
            <w:r>
              <w:rPr>
                <w:rFonts w:hint="eastAsia"/>
                <w:sz w:val="24"/>
              </w:rPr>
              <w:t>注销</w:t>
            </w:r>
            <w:r>
              <w:rPr>
                <w:sz w:val="24"/>
              </w:rPr>
              <w:t>）</w:t>
            </w:r>
            <w:r>
              <w:rPr>
                <w:rFonts w:hint="eastAsia"/>
                <w:sz w:val="24"/>
              </w:rPr>
              <w:t>申请、</w:t>
            </w:r>
            <w:r>
              <w:rPr>
                <w:sz w:val="24"/>
              </w:rPr>
              <w:t>网</w:t>
            </w:r>
            <w:r>
              <w:rPr>
                <w:rFonts w:hint="eastAsia"/>
                <w:sz w:val="24"/>
              </w:rPr>
              <w:t>上业务办理操作等</w:t>
            </w:r>
            <w:r>
              <w:rPr>
                <w:sz w:val="24"/>
              </w:rPr>
              <w:t>全部有关事项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4414" w:type="dxa"/>
            <w:gridSpan w:val="9"/>
            <w:tcBorders>
              <w:top w:val="nil"/>
              <w:bottom w:val="single" w:color="auto" w:sz="4" w:space="0"/>
              <w:right w:val="nil"/>
            </w:tcBorders>
          </w:tcPr>
          <w:p>
            <w:pPr>
              <w:spacing w:line="760" w:lineRule="exact"/>
              <w:ind w:firstLine="480" w:firstLineChars="200"/>
              <w:rPr>
                <w:rFonts w:ascii="宋体" w:hAnsi="宋体"/>
                <w:sz w:val="24"/>
              </w:rPr>
            </w:pPr>
            <w:r>
              <w:rPr>
                <w:rFonts w:hint="eastAsia" w:ascii="宋体" w:hAnsi="宋体"/>
                <w:sz w:val="24"/>
              </w:rPr>
              <w:t>法定代表人签名</w:t>
            </w:r>
            <w:r>
              <w:rPr>
                <w:rFonts w:ascii="宋体" w:hAnsi="宋体"/>
                <w:sz w:val="24"/>
              </w:rPr>
              <w:t>：</w:t>
            </w:r>
          </w:p>
          <w:p>
            <w:pPr>
              <w:spacing w:beforeLines="100" w:line="760" w:lineRule="exact"/>
              <w:ind w:firstLine="480" w:firstLineChars="200"/>
              <w:rPr>
                <w:rFonts w:ascii="宋体" w:hAnsi="宋体"/>
                <w:sz w:val="24"/>
              </w:rPr>
            </w:pPr>
            <w:r>
              <w:rPr>
                <w:rFonts w:hint="eastAsia" w:ascii="宋体" w:hAnsi="宋体"/>
                <w:sz w:val="24"/>
              </w:rPr>
              <w:t>单位经办人签名</w:t>
            </w:r>
            <w:r>
              <w:rPr>
                <w:rFonts w:ascii="宋体" w:hAnsi="宋体"/>
                <w:sz w:val="24"/>
              </w:rPr>
              <w:t>：</w:t>
            </w:r>
          </w:p>
        </w:tc>
        <w:tc>
          <w:tcPr>
            <w:tcW w:w="4415" w:type="dxa"/>
            <w:gridSpan w:val="11"/>
            <w:tcBorders>
              <w:top w:val="nil"/>
              <w:left w:val="nil"/>
              <w:bottom w:val="single" w:color="auto" w:sz="4" w:space="0"/>
            </w:tcBorders>
          </w:tcPr>
          <w:p>
            <w:pPr>
              <w:spacing w:line="760" w:lineRule="exact"/>
              <w:ind w:firstLine="480" w:firstLineChars="200"/>
              <w:rPr>
                <w:rFonts w:ascii="宋体" w:hAnsi="宋体"/>
                <w:sz w:val="24"/>
              </w:rPr>
            </w:pPr>
            <w:r>
              <w:rPr>
                <w:rFonts w:hint="eastAsia" w:ascii="宋体" w:hAnsi="宋体"/>
                <w:sz w:val="24"/>
              </w:rPr>
              <w:t>申请单位（</w:t>
            </w:r>
            <w:r>
              <w:rPr>
                <w:rFonts w:ascii="宋体" w:hAnsi="宋体"/>
                <w:sz w:val="24"/>
              </w:rPr>
              <w:t>盖章</w:t>
            </w:r>
            <w:r>
              <w:rPr>
                <w:rFonts w:hint="eastAsia" w:ascii="宋体" w:hAnsi="宋体"/>
                <w:sz w:val="24"/>
              </w:rPr>
              <w:t>）</w:t>
            </w:r>
          </w:p>
          <w:p>
            <w:pPr>
              <w:spacing w:beforeLines="100" w:line="760" w:lineRule="exact"/>
              <w:ind w:firstLine="480" w:firstLineChars="200"/>
              <w:rPr>
                <w:rFonts w:ascii="宋体" w:hAnsi="宋体"/>
                <w:sz w:val="24"/>
              </w:rPr>
            </w:pPr>
            <w:r>
              <w:rPr>
                <w:rFonts w:hint="eastAsia" w:ascii="宋体" w:hAnsi="宋体"/>
                <w:sz w:val="24"/>
              </w:rPr>
              <w:t>申请日期</w:t>
            </w:r>
            <w:r>
              <w:rPr>
                <w:rFonts w:ascii="宋体" w:hAnsi="宋体"/>
                <w:sz w:val="24"/>
              </w:rPr>
              <w:t>：</w:t>
            </w:r>
            <w:r>
              <w:rPr>
                <w:rFonts w:hint="eastAsia" w:ascii="宋体" w:hAnsi="宋体"/>
                <w:sz w:val="24"/>
                <w:u w:val="single"/>
              </w:rPr>
              <w:t xml:space="preserve">      </w:t>
            </w:r>
            <w:r>
              <w:rPr>
                <w:rFonts w:ascii="宋体" w:hAnsi="宋体"/>
                <w:sz w:val="24"/>
                <w:u w:val="single"/>
              </w:rPr>
              <w:softHyphen/>
            </w:r>
            <w:r>
              <w:rPr>
                <w:rFonts w:hint="eastAsia"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829" w:type="dxa"/>
            <w:gridSpan w:val="20"/>
            <w:tcBorders>
              <w:bottom w:val="single" w:color="auto" w:sz="4" w:space="0"/>
            </w:tcBorders>
            <w:vAlign w:val="center"/>
          </w:tcPr>
          <w:p>
            <w:pPr>
              <w:numPr>
                <w:ilvl w:val="0"/>
                <w:numId w:val="1"/>
              </w:numPr>
              <w:spacing w:afterLines="50" w:line="520" w:lineRule="exact"/>
              <w:ind w:left="0"/>
              <w:jc w:val="left"/>
              <w:rPr>
                <w:rFonts w:ascii="宋体" w:hAnsi="宋体"/>
                <w:b/>
                <w:sz w:val="24"/>
              </w:rPr>
            </w:pPr>
            <w:r>
              <w:rPr>
                <w:rFonts w:hint="eastAsia" w:ascii="宋体" w:hAnsi="宋体"/>
                <w:b/>
                <w:sz w:val="24"/>
              </w:rPr>
              <w:t>用户须知：</w:t>
            </w:r>
          </w:p>
          <w:p>
            <w:pPr>
              <w:spacing w:line="440" w:lineRule="exact"/>
              <w:jc w:val="left"/>
              <w:rPr>
                <w:rFonts w:ascii="宋体" w:hAnsi="宋体"/>
                <w:sz w:val="24"/>
              </w:rPr>
            </w:pPr>
            <w:r>
              <w:rPr>
                <w:rFonts w:hint="eastAsia" w:ascii="宋体" w:hAnsi="宋体"/>
                <w:sz w:val="24"/>
              </w:rPr>
              <w:t>■在填写</w:t>
            </w:r>
            <w:r>
              <w:rPr>
                <w:rFonts w:ascii="宋体" w:hAnsi="宋体"/>
                <w:sz w:val="24"/>
              </w:rPr>
              <w:t>本受理单前，请认真阅读</w:t>
            </w:r>
            <w:r>
              <w:rPr>
                <w:rFonts w:hint="eastAsia" w:ascii="宋体" w:hAnsi="宋体"/>
                <w:sz w:val="24"/>
              </w:rPr>
              <w:t>《三门峡市住房公积金网上业务办理协议》。</w:t>
            </w:r>
          </w:p>
          <w:p>
            <w:pPr>
              <w:spacing w:line="440" w:lineRule="exact"/>
              <w:jc w:val="left"/>
              <w:rPr>
                <w:rFonts w:ascii="宋体" w:hAnsi="宋体"/>
                <w:sz w:val="24"/>
              </w:rPr>
            </w:pPr>
            <w:r>
              <w:rPr>
                <w:rFonts w:hint="eastAsia" w:ascii="宋体" w:hAnsi="宋体"/>
                <w:sz w:val="24"/>
              </w:rPr>
              <w:t>■具备以下资格的单位均可申请开通网上业务。</w:t>
            </w:r>
          </w:p>
          <w:p>
            <w:pPr>
              <w:spacing w:line="440" w:lineRule="exact"/>
              <w:jc w:val="left"/>
              <w:rPr>
                <w:rFonts w:ascii="宋体" w:hAnsi="宋体"/>
                <w:sz w:val="24"/>
              </w:rPr>
            </w:pPr>
            <w:r>
              <w:rPr>
                <w:rFonts w:hint="eastAsia" w:ascii="宋体" w:hAnsi="宋体"/>
                <w:sz w:val="24"/>
              </w:rPr>
              <w:t>1.在三门峡市住房公积金管理中心设立缴存账户且缴交正常的单位。</w:t>
            </w:r>
          </w:p>
          <w:p>
            <w:pPr>
              <w:spacing w:line="440" w:lineRule="exact"/>
              <w:jc w:val="left"/>
              <w:rPr>
                <w:rFonts w:ascii="宋体" w:hAnsi="宋体"/>
                <w:sz w:val="24"/>
              </w:rPr>
            </w:pPr>
            <w:r>
              <w:rPr>
                <w:rFonts w:hint="eastAsia" w:ascii="宋体" w:hAnsi="宋体"/>
                <w:sz w:val="24"/>
              </w:rPr>
              <w:t>2.具备登录互联网条件和计算机安全防护措施，并指定专人负责网上业务的单位。</w:t>
            </w:r>
          </w:p>
          <w:p>
            <w:pPr>
              <w:spacing w:line="440" w:lineRule="exact"/>
              <w:jc w:val="left"/>
              <w:rPr>
                <w:rFonts w:ascii="宋体" w:hAnsi="宋体"/>
                <w:sz w:val="24"/>
              </w:rPr>
            </w:pPr>
            <w:r>
              <w:rPr>
                <w:rFonts w:hint="eastAsia" w:ascii="宋体" w:hAnsi="宋体"/>
                <w:sz w:val="24"/>
              </w:rPr>
              <w:t>3.符合《住房公积金基础数据标准》要求，并且在三门峡市住房公积金业务管理系统内显示的单位信息和个人信息完整准确的单位。</w:t>
            </w:r>
          </w:p>
          <w:p>
            <w:pPr>
              <w:spacing w:line="440" w:lineRule="exact"/>
              <w:jc w:val="left"/>
              <w:rPr>
                <w:rFonts w:hint="eastAsia" w:eastAsia="宋体"/>
                <w:sz w:val="24"/>
                <w:lang w:eastAsia="zh-CN"/>
              </w:rPr>
            </w:pPr>
            <w:r>
              <w:rPr>
                <w:rFonts w:hint="eastAsia" w:ascii="宋体" w:hAnsi="宋体"/>
                <w:sz w:val="24"/>
              </w:rPr>
              <w:t>■ 本受理单一式两份，由</w:t>
            </w:r>
            <w:r>
              <w:rPr>
                <w:rFonts w:ascii="宋体" w:hAnsi="宋体"/>
                <w:sz w:val="24"/>
              </w:rPr>
              <w:t>受理单位</w:t>
            </w:r>
            <w:r>
              <w:rPr>
                <w:rFonts w:hint="eastAsia" w:ascii="宋体" w:hAnsi="宋体"/>
                <w:sz w:val="24"/>
              </w:rPr>
              <w:t>和申请单位分别留存</w:t>
            </w:r>
            <w:r>
              <w:rPr>
                <w:rFonts w:ascii="宋体" w:hAnsi="宋体"/>
                <w:sz w:val="24"/>
              </w:rPr>
              <w:t>。</w:t>
            </w:r>
            <w:r>
              <w:rPr>
                <w:rFonts w:hint="eastAsia" w:ascii="宋体" w:hAnsi="宋体"/>
                <w:sz w:val="24"/>
                <w:lang w:eastAsia="zh-CN"/>
              </w:rPr>
              <w:t>（双面打印</w:t>
            </w:r>
            <w:bookmarkStart w:id="0" w:name="_GoBack"/>
            <w:bookmarkEnd w:id="0"/>
            <w:r>
              <w:rPr>
                <w:rFonts w:hint="eastAsia" w:ascii="宋体" w:hAnsi="宋体"/>
                <w:sz w:val="24"/>
                <w:lang w:eastAsia="zh-CN"/>
              </w:rPr>
              <w:t>）</w:t>
            </w:r>
          </w:p>
        </w:tc>
      </w:tr>
    </w:tbl>
    <w:p>
      <w:pPr>
        <w:spacing w:beforeLines="100" w:line="300" w:lineRule="exact"/>
        <w:jc w:val="left"/>
      </w:pPr>
      <w:r>
        <w:rPr>
          <w:rFonts w:hint="eastAsia"/>
        </w:rPr>
        <w:t>三门峡市住房公积金管理中心      客服热线</w:t>
      </w:r>
      <w:r>
        <w:t>：</w:t>
      </w:r>
      <w:r>
        <w:rPr>
          <w:rFonts w:hint="eastAsia"/>
        </w:rPr>
        <w:t>0398</w:t>
      </w:r>
      <w:r>
        <w:t xml:space="preserve"> –</w:t>
      </w:r>
      <w:r>
        <w:rPr>
          <w:rFonts w:hint="eastAsia"/>
        </w:rPr>
        <w:t xml:space="preserve"> 12329      网站：</w:t>
      </w:r>
      <w:r>
        <w:rPr>
          <w:rFonts w:ascii="Arial Unicode MS" w:hAnsi="Arial Unicode MS" w:eastAsia="Arial Unicode MS" w:cs="Arial Unicode MS"/>
        </w:rPr>
        <w:t>www.</w:t>
      </w:r>
      <w:r>
        <w:rPr>
          <w:rFonts w:hint="eastAsia" w:ascii="Arial Unicode MS" w:hAnsi="Arial Unicode MS" w:eastAsia="Arial Unicode MS" w:cs="Arial Unicode MS"/>
        </w:rPr>
        <w:t>smxgjj.com</w:t>
      </w:r>
    </w:p>
    <w:p>
      <w:pPr>
        <w:spacing w:line="300" w:lineRule="exact"/>
        <w:jc w:val="left"/>
        <w:rPr>
          <w:rStyle w:val="10"/>
          <w:rFonts w:ascii="Arial Unicode MS" w:hAnsi="Arial Unicode MS" w:eastAsia="Arial Unicode MS" w:cs="Arial Unicode MS"/>
        </w:rPr>
      </w:pPr>
      <w:r>
        <w:rPr>
          <w:rFonts w:hint="eastAsia"/>
        </w:rPr>
        <w:t>地址</w:t>
      </w:r>
      <w:r>
        <w:t>：三门峡市</w:t>
      </w:r>
      <w:r>
        <w:rPr>
          <w:rFonts w:hint="eastAsia"/>
        </w:rPr>
        <w:t xml:space="preserve">崤山中路30号住房公积金办公楼                       </w:t>
      </w:r>
    </w:p>
    <w:p>
      <w:pPr>
        <w:spacing w:afterLines="100" w:line="300" w:lineRule="exact"/>
        <w:jc w:val="center"/>
        <w:rPr>
          <w:rFonts w:ascii="黑体" w:hAnsi="黑体" w:eastAsia="黑体"/>
          <w:sz w:val="30"/>
          <w:szCs w:val="30"/>
        </w:rPr>
      </w:pPr>
    </w:p>
    <w:p>
      <w:pPr>
        <w:spacing w:line="300" w:lineRule="exact"/>
        <w:jc w:val="center"/>
        <w:rPr>
          <w:rFonts w:ascii="黑体" w:hAnsi="黑体" w:eastAsia="黑体"/>
          <w:b/>
          <w:sz w:val="30"/>
          <w:szCs w:val="30"/>
        </w:rPr>
      </w:pPr>
      <w:r>
        <w:rPr>
          <w:rFonts w:hint="eastAsia" w:ascii="黑体" w:hAnsi="黑体" w:eastAsia="黑体"/>
          <w:sz w:val="30"/>
          <w:szCs w:val="30"/>
        </w:rPr>
        <w:t>三门峡市住房公积金网上业务办理协议</w:t>
      </w:r>
    </w:p>
    <w:p>
      <w:pPr>
        <w:snapToGrid w:val="0"/>
        <w:spacing w:line="220" w:lineRule="exact"/>
        <w:ind w:firstLine="361" w:firstLineChars="200"/>
        <w:jc w:val="left"/>
        <w:rPr>
          <w:rFonts w:hint="eastAsia" w:ascii="宋体" w:hAnsi="宋体"/>
          <w:b/>
          <w:color w:val="000000"/>
          <w:sz w:val="18"/>
          <w:szCs w:val="28"/>
        </w:rPr>
      </w:pPr>
    </w:p>
    <w:p>
      <w:pPr>
        <w:snapToGrid w:val="0"/>
        <w:spacing w:line="220" w:lineRule="exact"/>
        <w:ind w:firstLine="361" w:firstLineChars="200"/>
        <w:jc w:val="left"/>
        <w:rPr>
          <w:rFonts w:ascii="宋体" w:hAnsi="宋体"/>
          <w:b/>
          <w:color w:val="000000"/>
          <w:sz w:val="18"/>
          <w:szCs w:val="28"/>
          <w:u w:val="single"/>
        </w:rPr>
      </w:pPr>
      <w:r>
        <w:rPr>
          <w:rFonts w:hint="eastAsia" w:ascii="宋体" w:hAnsi="宋体"/>
          <w:b/>
          <w:color w:val="000000"/>
          <w:sz w:val="18"/>
          <w:szCs w:val="28"/>
        </w:rPr>
        <w:t xml:space="preserve">甲方： </w:t>
      </w:r>
    </w:p>
    <w:p>
      <w:pPr>
        <w:snapToGrid w:val="0"/>
        <w:spacing w:line="220" w:lineRule="exact"/>
        <w:ind w:firstLine="361" w:firstLineChars="200"/>
        <w:jc w:val="left"/>
        <w:rPr>
          <w:rFonts w:ascii="宋体" w:hAnsi="宋体"/>
          <w:b/>
          <w:color w:val="000000"/>
          <w:sz w:val="18"/>
          <w:szCs w:val="28"/>
        </w:rPr>
      </w:pPr>
      <w:r>
        <w:rPr>
          <w:rFonts w:hint="eastAsia" w:ascii="宋体" w:hAnsi="宋体"/>
          <w:b/>
          <w:color w:val="000000"/>
          <w:sz w:val="18"/>
          <w:szCs w:val="28"/>
        </w:rPr>
        <w:t>乙方：三门峡市住房公积金管理中心</w:t>
      </w:r>
    </w:p>
    <w:p>
      <w:pPr>
        <w:snapToGrid w:val="0"/>
        <w:spacing w:line="220" w:lineRule="exact"/>
        <w:ind w:firstLine="361" w:firstLineChars="200"/>
        <w:jc w:val="left"/>
        <w:rPr>
          <w:rFonts w:ascii="宋体" w:hAnsi="宋体"/>
          <w:b/>
          <w:color w:val="000000"/>
          <w:sz w:val="18"/>
          <w:szCs w:val="28"/>
        </w:rPr>
      </w:pPr>
    </w:p>
    <w:p>
      <w:pPr>
        <w:snapToGrid w:val="0"/>
        <w:spacing w:line="220" w:lineRule="exact"/>
        <w:ind w:firstLine="361" w:firstLineChars="200"/>
        <w:jc w:val="left"/>
        <w:rPr>
          <w:rFonts w:ascii="宋体" w:hAnsi="宋体"/>
          <w:color w:val="000000"/>
          <w:sz w:val="18"/>
          <w:szCs w:val="28"/>
        </w:rPr>
      </w:pPr>
      <w:r>
        <w:rPr>
          <w:rFonts w:hint="eastAsia" w:ascii="宋体" w:hAnsi="宋体"/>
          <w:b/>
          <w:color w:val="000000"/>
          <w:sz w:val="18"/>
          <w:szCs w:val="28"/>
        </w:rPr>
        <w:t xml:space="preserve">第一条 </w:t>
      </w:r>
      <w:r>
        <w:rPr>
          <w:rFonts w:hint="eastAsia" w:ascii="宋体" w:hAnsi="宋体"/>
          <w:color w:val="000000"/>
          <w:sz w:val="18"/>
          <w:szCs w:val="28"/>
        </w:rPr>
        <w:t xml:space="preserve"> 为明确甲、乙双方的权利和义务，规范双方的业务行为，根据国家有关法律、法规，本着自愿、平等的原则制定本协议。</w:t>
      </w:r>
    </w:p>
    <w:p>
      <w:pPr>
        <w:snapToGrid w:val="0"/>
        <w:spacing w:line="220" w:lineRule="exact"/>
        <w:ind w:firstLine="361" w:firstLineChars="200"/>
        <w:jc w:val="left"/>
        <w:rPr>
          <w:rFonts w:ascii="宋体" w:hAnsi="宋体"/>
          <w:sz w:val="18"/>
          <w:szCs w:val="28"/>
        </w:rPr>
      </w:pPr>
      <w:r>
        <w:rPr>
          <w:rFonts w:hint="eastAsia" w:ascii="宋体" w:hAnsi="宋体"/>
          <w:b/>
          <w:color w:val="000000"/>
          <w:sz w:val="18"/>
          <w:szCs w:val="28"/>
        </w:rPr>
        <w:t xml:space="preserve">第二条  </w:t>
      </w:r>
      <w:r>
        <w:rPr>
          <w:rFonts w:hint="eastAsia" w:ascii="宋体" w:hAnsi="宋体"/>
          <w:sz w:val="18"/>
          <w:szCs w:val="28"/>
        </w:rPr>
        <w:t>本协议仅适用于住房公积金缴存单位网上业务的办理。</w:t>
      </w:r>
    </w:p>
    <w:p>
      <w:pPr>
        <w:snapToGrid w:val="0"/>
        <w:spacing w:line="220" w:lineRule="exact"/>
        <w:ind w:firstLine="361" w:firstLineChars="200"/>
        <w:jc w:val="left"/>
        <w:rPr>
          <w:rFonts w:ascii="宋体" w:hAnsi="宋体"/>
          <w:color w:val="000000"/>
          <w:sz w:val="18"/>
          <w:szCs w:val="28"/>
        </w:rPr>
      </w:pPr>
      <w:r>
        <w:rPr>
          <w:rFonts w:hint="eastAsia" w:ascii="宋体" w:hAnsi="宋体"/>
          <w:b/>
          <w:color w:val="000000"/>
          <w:sz w:val="18"/>
          <w:szCs w:val="28"/>
        </w:rPr>
        <w:t>第三条</w:t>
      </w:r>
      <w:r>
        <w:rPr>
          <w:rFonts w:hint="eastAsia" w:ascii="宋体" w:hAnsi="宋体"/>
          <w:color w:val="000000"/>
          <w:sz w:val="18"/>
          <w:szCs w:val="28"/>
        </w:rPr>
        <w:t xml:space="preserve">  甲方的权利和义务</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一）甲方在三门峡市住房公积金管理中心开立住房公积金账户后，可申请使用住房公积金网上业务大厅系统（以下简称“网上业务大厅系统”）。由甲方经办人携带身份证、加盖印鉴的《三门峡市住房公积金网上业务受理单》到乙方办理申请事宜。</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（二）甲方可以通过登录乙方网上业务大厅系统办理个人开户、封存、启封、基数调整、公积金汇缴登记及各类查询业务。</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color w:val="000000"/>
          <w:sz w:val="18"/>
          <w:szCs w:val="28"/>
        </w:rPr>
        <w:t>（三）甲方需通过CA证书登录使用网上业务大厅系统。乙方以此作为识别客户有效身份的标识</w:t>
      </w:r>
      <w:r>
        <w:rPr>
          <w:rFonts w:hint="eastAsia" w:ascii="宋体" w:hAnsi="宋体" w:cs="宋体"/>
          <w:color w:val="000000"/>
          <w:kern w:val="0"/>
          <w:sz w:val="18"/>
          <w:szCs w:val="28"/>
        </w:rPr>
        <w:t>，对使用以上标识进行的操作均视为甲方行为。</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cs="宋体"/>
          <w:color w:val="000000"/>
          <w:kern w:val="0"/>
          <w:sz w:val="18"/>
          <w:szCs w:val="28"/>
        </w:rPr>
        <w:t>甲方应妥善保管好</w:t>
      </w:r>
      <w:r>
        <w:rPr>
          <w:rFonts w:hint="eastAsia" w:ascii="宋体" w:hAnsi="宋体"/>
          <w:color w:val="000000"/>
          <w:sz w:val="18"/>
          <w:szCs w:val="28"/>
        </w:rPr>
        <w:t>CA证书</w:t>
      </w:r>
      <w:r>
        <w:rPr>
          <w:rFonts w:hint="eastAsia" w:ascii="宋体" w:hAnsi="宋体" w:cs="宋体"/>
          <w:color w:val="000000"/>
          <w:kern w:val="0"/>
          <w:sz w:val="18"/>
          <w:szCs w:val="28"/>
        </w:rPr>
        <w:t>，如若丢失，应及时办理挂失及补办手续，否则造成的损失，由甲方自行承担。</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color w:val="000000"/>
          <w:sz w:val="18"/>
          <w:szCs w:val="28"/>
        </w:rPr>
        <w:t>（四）甲方应按照相关法规和规定办理各项业务，及时为职工办理住房公积金缴存变更、汇缴手续。</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color w:val="000000"/>
          <w:sz w:val="18"/>
          <w:szCs w:val="28"/>
        </w:rPr>
        <w:t>（五）甲方</w:t>
      </w:r>
      <w:r>
        <w:rPr>
          <w:rFonts w:hint="eastAsia" w:ascii="宋体" w:hAnsi="宋体"/>
          <w:sz w:val="18"/>
          <w:szCs w:val="28"/>
        </w:rPr>
        <w:t>应建立规范的住房公积金内部管理制度</w:t>
      </w:r>
      <w:r>
        <w:rPr>
          <w:rFonts w:hint="eastAsia" w:ascii="宋体" w:hAnsi="宋体"/>
          <w:color w:val="000000"/>
          <w:sz w:val="18"/>
          <w:szCs w:val="28"/>
        </w:rPr>
        <w:t>，设立业务经办角色，保证所办业务合规、真实、准确。如提供虚假数据或未按操作流程办理造成的不良后果或资产损失，由甲方自行承担。</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sz w:val="18"/>
          <w:szCs w:val="28"/>
        </w:rPr>
        <w:t>（六）甲方应保存好办理业务的原始凭证，存档以备查证。</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cs="宋体"/>
          <w:color w:val="000000"/>
          <w:kern w:val="0"/>
          <w:sz w:val="18"/>
          <w:szCs w:val="28"/>
        </w:rPr>
        <w:t>（七）甲方信息发生变更时，应及时通过网上业务大厅系统或到乙方办理变更手续。</w:t>
      </w:r>
    </w:p>
    <w:p>
      <w:pPr>
        <w:snapToGrid w:val="0"/>
        <w:spacing w:line="220" w:lineRule="exact"/>
        <w:ind w:firstLine="360" w:firstLineChars="200"/>
        <w:jc w:val="left"/>
        <w:rPr>
          <w:rFonts w:ascii="宋体" w:hAnsi="宋体"/>
          <w:sz w:val="18"/>
          <w:szCs w:val="28"/>
        </w:rPr>
      </w:pPr>
      <w:r>
        <w:rPr>
          <w:rFonts w:hint="eastAsia" w:ascii="宋体" w:hAnsi="宋体" w:cs="宋体"/>
          <w:color w:val="000000"/>
          <w:sz w:val="18"/>
          <w:szCs w:val="28"/>
        </w:rPr>
        <w:t>（八）</w:t>
      </w:r>
      <w:r>
        <w:rPr>
          <w:rFonts w:hint="eastAsia" w:ascii="宋体" w:hAnsi="宋体"/>
          <w:color w:val="000000"/>
          <w:sz w:val="18"/>
          <w:szCs w:val="28"/>
        </w:rPr>
        <w:t>甲方使用网上业务大厅系统时，应直接从乙</w:t>
      </w:r>
      <w:r>
        <w:rPr>
          <w:rFonts w:hint="eastAsia" w:ascii="宋体" w:hAnsi="宋体"/>
          <w:sz w:val="18"/>
          <w:szCs w:val="28"/>
        </w:rPr>
        <w:t>方网站（</w:t>
      </w:r>
      <w:r>
        <w:rPr>
          <w:rFonts w:ascii="宋体" w:hAnsi="宋体"/>
          <w:sz w:val="18"/>
          <w:szCs w:val="28"/>
        </w:rPr>
        <w:t>http://</w:t>
      </w:r>
      <w:r>
        <w:rPr>
          <w:rFonts w:hint="eastAsia" w:ascii="宋体" w:hAnsi="宋体"/>
          <w:sz w:val="18"/>
          <w:szCs w:val="28"/>
        </w:rPr>
        <w:t>www</w:t>
      </w:r>
      <w:r>
        <w:rPr>
          <w:rFonts w:ascii="宋体" w:hAnsi="宋体"/>
          <w:sz w:val="18"/>
          <w:szCs w:val="28"/>
        </w:rPr>
        <w:t>.</w:t>
      </w:r>
      <w:r>
        <w:rPr>
          <w:rFonts w:hint="eastAsia" w:ascii="宋体" w:hAnsi="宋体"/>
          <w:sz w:val="18"/>
          <w:szCs w:val="28"/>
        </w:rPr>
        <w:t>smxgjj.com</w:t>
      </w:r>
      <w:r>
        <w:rPr>
          <w:rFonts w:hint="eastAsia" w:ascii="宋体" w:hAnsi="宋体"/>
          <w:color w:val="000000"/>
          <w:sz w:val="18"/>
          <w:szCs w:val="28"/>
        </w:rPr>
        <w:t>）处登录,通过邮件或其他网站提供的链接地址登录所产生的不利后果由甲方自行承担。</w:t>
      </w:r>
    </w:p>
    <w:p>
      <w:pPr>
        <w:snapToGrid w:val="0"/>
        <w:spacing w:line="220" w:lineRule="exact"/>
        <w:ind w:firstLine="360" w:firstLineChars="200"/>
        <w:jc w:val="left"/>
        <w:rPr>
          <w:rFonts w:ascii="宋体" w:hAnsi="宋体"/>
          <w:sz w:val="18"/>
          <w:szCs w:val="28"/>
        </w:rPr>
      </w:pPr>
      <w:r>
        <w:rPr>
          <w:rFonts w:hint="eastAsia" w:ascii="宋体" w:hAnsi="宋体"/>
          <w:bCs/>
          <w:color w:val="000000"/>
          <w:sz w:val="18"/>
          <w:szCs w:val="28"/>
        </w:rPr>
        <w:t>（九）甲方仅限于在办理业务时使用乙方的网上业务大厅系统系统，不能擅自复制、修改、增加网上业务大厅系统的服务内容，或创造有关的派生产品。</w:t>
      </w:r>
    </w:p>
    <w:p>
      <w:pPr>
        <w:snapToGrid w:val="0"/>
        <w:spacing w:line="220" w:lineRule="exact"/>
        <w:ind w:firstLine="361" w:firstLineChars="200"/>
        <w:jc w:val="left"/>
        <w:rPr>
          <w:rFonts w:ascii="宋体" w:hAnsi="宋体" w:cs="宋体"/>
          <w:color w:val="000000"/>
          <w:kern w:val="0"/>
          <w:sz w:val="18"/>
          <w:szCs w:val="28"/>
        </w:rPr>
      </w:pPr>
      <w:r>
        <w:rPr>
          <w:rFonts w:hint="eastAsia" w:ascii="宋体" w:hAnsi="宋体" w:cs="宋体"/>
          <w:b/>
          <w:color w:val="000000"/>
          <w:kern w:val="0"/>
          <w:sz w:val="18"/>
          <w:szCs w:val="28"/>
        </w:rPr>
        <w:t>第四条</w:t>
      </w:r>
      <w:r>
        <w:rPr>
          <w:rFonts w:hint="eastAsia" w:ascii="宋体" w:hAnsi="宋体" w:cs="宋体"/>
          <w:color w:val="000000"/>
          <w:kern w:val="0"/>
          <w:sz w:val="18"/>
          <w:szCs w:val="28"/>
        </w:rPr>
        <w:t xml:space="preserve">  乙方的权利和义务</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（一）乙方有权对使用网上业务大厅系统的甲方进行身份认证。未通过身份认证的，乙方有权拒绝甲方使用网上业务大厅系统。</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（二）乙方应根据甲方发送的交易</w:t>
      </w:r>
      <w:r>
        <w:rPr>
          <w:rFonts w:hint="eastAsia" w:ascii="宋体" w:hAnsi="宋体"/>
          <w:sz w:val="18"/>
          <w:szCs w:val="28"/>
        </w:rPr>
        <w:t>指令进行处</w:t>
      </w:r>
      <w:r>
        <w:rPr>
          <w:rFonts w:hint="eastAsia" w:ascii="宋体" w:hAnsi="宋体"/>
          <w:color w:val="000000"/>
          <w:sz w:val="18"/>
          <w:szCs w:val="28"/>
        </w:rPr>
        <w:t>理，并将处理结果实时反馈给甲方。</w:t>
      </w:r>
    </w:p>
    <w:p>
      <w:pPr>
        <w:snapToGrid w:val="0"/>
        <w:spacing w:line="220" w:lineRule="exact"/>
        <w:ind w:firstLine="360" w:firstLineChars="200"/>
        <w:jc w:val="left"/>
        <w:rPr>
          <w:rFonts w:ascii="宋体" w:hAnsi="宋体"/>
          <w:sz w:val="18"/>
          <w:szCs w:val="28"/>
        </w:rPr>
      </w:pPr>
      <w:r>
        <w:rPr>
          <w:rFonts w:hint="eastAsia" w:ascii="宋体" w:hAnsi="宋体"/>
          <w:sz w:val="18"/>
          <w:szCs w:val="28"/>
        </w:rPr>
        <w:t>（三）乙方</w:t>
      </w:r>
      <w:r>
        <w:rPr>
          <w:rFonts w:hint="eastAsia" w:ascii="宋体" w:hAnsi="宋体"/>
          <w:color w:val="000000"/>
          <w:sz w:val="18"/>
          <w:szCs w:val="28"/>
        </w:rPr>
        <w:t>有权</w:t>
      </w:r>
      <w:r>
        <w:rPr>
          <w:rFonts w:hint="eastAsia" w:ascii="宋体" w:hAnsi="宋体"/>
          <w:sz w:val="18"/>
          <w:szCs w:val="28"/>
        </w:rPr>
        <w:t>定期或不定期对甲方网上所办业务的合法性、合规性进行稽查。</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（四）乙方应向甲方提供必要的网上业务大厅系统操作培训或相关操作说明材料。</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color w:val="000000"/>
          <w:sz w:val="18"/>
          <w:szCs w:val="28"/>
        </w:rPr>
        <w:t>（五）乙方有权对网上业务大厅系统进行升级，对所提供的服务项目进行调整。对系统进行升级或对服务项目进行调整时，应</w:t>
      </w:r>
      <w:r>
        <w:rPr>
          <w:rFonts w:hint="eastAsia" w:ascii="宋体" w:hAnsi="宋体" w:cs="宋体"/>
          <w:color w:val="000000"/>
          <w:kern w:val="0"/>
          <w:sz w:val="18"/>
          <w:szCs w:val="28"/>
        </w:rPr>
        <w:t>事先进行通告。</w:t>
      </w:r>
    </w:p>
    <w:p>
      <w:pPr>
        <w:snapToGrid w:val="0"/>
        <w:spacing w:line="220" w:lineRule="exact"/>
        <w:ind w:firstLine="361" w:firstLineChars="200"/>
        <w:jc w:val="left"/>
        <w:rPr>
          <w:rFonts w:ascii="宋体" w:hAnsi="宋体" w:cs="宋体"/>
          <w:color w:val="000000"/>
          <w:kern w:val="0"/>
          <w:sz w:val="18"/>
          <w:szCs w:val="28"/>
        </w:rPr>
      </w:pPr>
      <w:r>
        <w:rPr>
          <w:rFonts w:hint="eastAsia" w:ascii="宋体" w:hAnsi="宋体" w:cs="宋体"/>
          <w:b/>
          <w:color w:val="000000"/>
          <w:kern w:val="0"/>
          <w:sz w:val="18"/>
          <w:szCs w:val="28"/>
        </w:rPr>
        <w:t>第五条</w:t>
      </w:r>
      <w:r>
        <w:rPr>
          <w:rFonts w:hint="eastAsia" w:ascii="宋体" w:hAnsi="宋体"/>
          <w:color w:val="000000"/>
          <w:sz w:val="18"/>
          <w:szCs w:val="28"/>
        </w:rPr>
        <w:t>服务变更、中断或终止</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（一）如因系统维护或升级的需要而需暂停网上服务，乙方将通过网站事先进行通告。</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（二）如若甲方提供虚假、错误的资料、数据，或有违反网上业务大厅系统的使用规则和操作流程进行操作的行为，乙方有权随时中断或终止向甲方提供的网上服务而无需通知甲方，并保留追究其责任的权利。</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（三）甲方可自愿申请解除网上服务。</w:t>
      </w:r>
      <w:r>
        <w:rPr>
          <w:rFonts w:hint="eastAsia" w:ascii="宋体" w:hAnsi="宋体"/>
          <w:bCs/>
          <w:color w:val="000000"/>
          <w:sz w:val="18"/>
          <w:szCs w:val="28"/>
        </w:rPr>
        <w:t>甲方自愿解除网上服务时，需甲方经办人携带身份证、</w:t>
      </w:r>
      <w:r>
        <w:rPr>
          <w:rFonts w:hint="eastAsia" w:ascii="宋体" w:hAnsi="宋体"/>
          <w:color w:val="000000"/>
          <w:sz w:val="18"/>
          <w:szCs w:val="28"/>
        </w:rPr>
        <w:t>加盖印鉴的</w:t>
      </w:r>
      <w:r>
        <w:rPr>
          <w:rFonts w:hint="eastAsia" w:ascii="宋体" w:hAnsi="宋体"/>
          <w:bCs/>
          <w:color w:val="000000"/>
          <w:sz w:val="18"/>
          <w:szCs w:val="28"/>
        </w:rPr>
        <w:t>《三门峡市住房公积金网上业务受理单》到乙方办理。</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color w:val="000000"/>
          <w:sz w:val="18"/>
          <w:szCs w:val="28"/>
        </w:rPr>
        <w:t xml:space="preserve">（四）除上所述情形外，鉴于网络服务的特殊性，乙方保留在自然及其他不可抗力因素作用下变更、中断或终止部分或全部网上服务的权利。对于所有服务中断或终止而造成的损失，乙方无需对甲方或第三方承担任何责任。  </w:t>
      </w:r>
    </w:p>
    <w:p>
      <w:pPr>
        <w:snapToGrid w:val="0"/>
        <w:spacing w:line="220" w:lineRule="exact"/>
        <w:ind w:firstLine="361" w:firstLineChars="200"/>
        <w:jc w:val="left"/>
        <w:rPr>
          <w:rFonts w:ascii="宋体" w:hAnsi="宋体"/>
          <w:color w:val="000000"/>
          <w:sz w:val="18"/>
          <w:szCs w:val="28"/>
        </w:rPr>
      </w:pPr>
      <w:r>
        <w:rPr>
          <w:rFonts w:hint="eastAsia" w:ascii="宋体" w:hAnsi="宋体"/>
          <w:b/>
          <w:color w:val="000000"/>
          <w:sz w:val="18"/>
          <w:szCs w:val="28"/>
        </w:rPr>
        <w:t xml:space="preserve">第六条 </w:t>
      </w:r>
      <w:r>
        <w:rPr>
          <w:rFonts w:hint="eastAsia" w:ascii="宋体" w:hAnsi="宋体"/>
          <w:color w:val="000000"/>
          <w:sz w:val="18"/>
          <w:szCs w:val="28"/>
        </w:rPr>
        <w:t xml:space="preserve"> 适用法律及争议解决</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（一）本协议的订立、执行和解释及争议的解决均应适用中国法律；</w:t>
      </w:r>
    </w:p>
    <w:p>
      <w:pPr>
        <w:snapToGrid w:val="0"/>
        <w:spacing w:line="220" w:lineRule="exact"/>
        <w:ind w:firstLine="360" w:firstLineChars="200"/>
        <w:jc w:val="left"/>
        <w:rPr>
          <w:rFonts w:ascii="宋体" w:hAnsi="宋体"/>
          <w:color w:val="000000"/>
          <w:sz w:val="18"/>
          <w:szCs w:val="28"/>
        </w:rPr>
      </w:pPr>
      <w:r>
        <w:rPr>
          <w:rFonts w:hint="eastAsia" w:ascii="宋体" w:hAnsi="宋体"/>
          <w:color w:val="000000"/>
          <w:sz w:val="18"/>
          <w:szCs w:val="28"/>
        </w:rPr>
        <w:t>（二）本协议所涉及的业务均适用于《住房公积金管理条例》等相关法规及三门峡市住房公积金管理中心制定的相关规定，如本协议有特殊规定的按约定执行；</w:t>
      </w:r>
    </w:p>
    <w:p>
      <w:pPr>
        <w:snapToGrid w:val="0"/>
        <w:spacing w:line="220" w:lineRule="exact"/>
        <w:ind w:firstLine="360" w:firstLineChars="200"/>
        <w:jc w:val="left"/>
        <w:rPr>
          <w:rFonts w:ascii="宋体" w:hAnsi="宋体" w:cs="宋体"/>
          <w:color w:val="000000"/>
          <w:kern w:val="0"/>
          <w:sz w:val="18"/>
          <w:szCs w:val="28"/>
        </w:rPr>
      </w:pPr>
      <w:r>
        <w:rPr>
          <w:rFonts w:hint="eastAsia" w:ascii="宋体" w:hAnsi="宋体" w:cs="宋体"/>
          <w:color w:val="000000"/>
          <w:kern w:val="0"/>
          <w:sz w:val="18"/>
          <w:szCs w:val="28"/>
        </w:rPr>
        <w:t>（三）如双方对本协议内容或其执行发生任何争议，双方应友好协商解决；协商不成时，提交三门峡仲裁委员会按照三门峡仲裁委员会现行有效的仲裁规则进行仲裁，仲裁裁决是终局的，对各方均有约束力。在仲裁期间，本协议不涉及争议部分的条款仍须履行。</w:t>
      </w:r>
    </w:p>
    <w:p>
      <w:pPr>
        <w:snapToGrid w:val="0"/>
        <w:spacing w:line="220" w:lineRule="exact"/>
        <w:ind w:firstLine="361" w:firstLineChars="200"/>
        <w:jc w:val="left"/>
        <w:rPr>
          <w:rFonts w:ascii="宋体" w:hAnsi="宋体" w:cs="宋体"/>
          <w:color w:val="000000"/>
          <w:kern w:val="0"/>
          <w:sz w:val="18"/>
          <w:szCs w:val="28"/>
        </w:rPr>
      </w:pPr>
      <w:r>
        <w:rPr>
          <w:rFonts w:hint="eastAsia" w:ascii="宋体" w:hAnsi="宋体" w:cs="宋体"/>
          <w:b/>
          <w:color w:val="000000"/>
          <w:kern w:val="0"/>
          <w:sz w:val="18"/>
          <w:szCs w:val="28"/>
        </w:rPr>
        <w:t>第七条</w:t>
      </w:r>
      <w:r>
        <w:rPr>
          <w:rFonts w:hint="eastAsia" w:ascii="宋体" w:hAnsi="宋体" w:cs="宋体"/>
          <w:color w:val="000000"/>
          <w:kern w:val="0"/>
          <w:sz w:val="18"/>
          <w:szCs w:val="28"/>
        </w:rPr>
        <w:t xml:space="preserve">  本协议一式两份，甲乙双方各一份，自双方签订之日起生效。</w:t>
      </w:r>
    </w:p>
    <w:p>
      <w:pPr>
        <w:snapToGrid w:val="0"/>
        <w:spacing w:line="220" w:lineRule="exact"/>
        <w:ind w:firstLine="360" w:firstLineChars="200"/>
        <w:jc w:val="left"/>
        <w:rPr>
          <w:rFonts w:ascii="宋体" w:hAnsi="宋体" w:cs="宋体"/>
          <w:color w:val="000000"/>
          <w:kern w:val="0"/>
          <w:sz w:val="18"/>
          <w:szCs w:val="28"/>
        </w:rPr>
      </w:pPr>
    </w:p>
    <w:p>
      <w:pPr>
        <w:snapToGrid w:val="0"/>
        <w:spacing w:line="220" w:lineRule="exact"/>
        <w:ind w:firstLine="360" w:firstLineChars="200"/>
        <w:jc w:val="left"/>
        <w:rPr>
          <w:rFonts w:ascii="宋体" w:hAnsi="宋体" w:cs="宋体"/>
          <w:color w:val="000000"/>
          <w:kern w:val="0"/>
          <w:sz w:val="18"/>
          <w:szCs w:val="28"/>
        </w:rPr>
      </w:pPr>
    </w:p>
    <w:p>
      <w:pPr>
        <w:snapToGrid w:val="0"/>
        <w:spacing w:line="220" w:lineRule="exact"/>
        <w:ind w:firstLine="360" w:firstLineChars="200"/>
        <w:jc w:val="left"/>
        <w:rPr>
          <w:rFonts w:ascii="宋体" w:hAnsi="宋体" w:cs="宋体"/>
          <w:color w:val="000000"/>
          <w:kern w:val="0"/>
          <w:sz w:val="18"/>
          <w:szCs w:val="28"/>
        </w:rPr>
      </w:pPr>
    </w:p>
    <w:p>
      <w:pPr>
        <w:snapToGrid w:val="0"/>
        <w:spacing w:line="220" w:lineRule="exact"/>
        <w:ind w:firstLine="360" w:firstLineChars="200"/>
        <w:jc w:val="left"/>
        <w:rPr>
          <w:rFonts w:ascii="宋体" w:hAnsi="宋体" w:cs="宋体"/>
          <w:color w:val="000000"/>
          <w:kern w:val="0"/>
          <w:sz w:val="18"/>
          <w:szCs w:val="28"/>
        </w:rPr>
        <w:sectPr>
          <w:pgSz w:w="11906" w:h="16838"/>
          <w:pgMar w:top="1418" w:right="1531" w:bottom="1418" w:left="1531" w:header="851" w:footer="992" w:gutter="0"/>
          <w:cols w:space="720" w:num="1"/>
          <w:docGrid w:type="lines" w:linePitch="312" w:charSpace="0"/>
        </w:sectPr>
      </w:pPr>
    </w:p>
    <w:p>
      <w:pPr>
        <w:snapToGrid w:val="0"/>
        <w:spacing w:line="460" w:lineRule="exact"/>
        <w:ind w:firstLine="400" w:firstLineChars="200"/>
        <w:jc w:val="left"/>
        <w:rPr>
          <w:rFonts w:ascii="宋体" w:hAnsi="宋体" w:cs="宋体"/>
          <w:color w:val="000000"/>
          <w:kern w:val="0"/>
          <w:sz w:val="20"/>
          <w:szCs w:val="28"/>
        </w:rPr>
      </w:pPr>
      <w:r>
        <w:rPr>
          <w:rFonts w:hint="eastAsia" w:ascii="宋体" w:hAnsi="宋体" w:cs="宋体"/>
          <w:color w:val="000000"/>
          <w:kern w:val="0"/>
          <w:sz w:val="20"/>
          <w:szCs w:val="28"/>
        </w:rPr>
        <w:t xml:space="preserve">甲方（公章）：    </w:t>
      </w:r>
    </w:p>
    <w:p>
      <w:pPr>
        <w:snapToGrid w:val="0"/>
        <w:spacing w:line="460" w:lineRule="exact"/>
        <w:ind w:firstLine="400" w:firstLineChars="200"/>
        <w:jc w:val="left"/>
        <w:rPr>
          <w:rFonts w:ascii="宋体" w:hAnsi="宋体" w:cs="宋体"/>
          <w:color w:val="000000"/>
          <w:kern w:val="0"/>
          <w:sz w:val="20"/>
          <w:szCs w:val="28"/>
        </w:rPr>
      </w:pPr>
      <w:r>
        <w:rPr>
          <w:rFonts w:hint="eastAsia" w:ascii="宋体" w:hAnsi="宋体" w:cs="宋体"/>
          <w:color w:val="000000"/>
          <w:kern w:val="0"/>
          <w:sz w:val="20"/>
          <w:szCs w:val="28"/>
        </w:rPr>
        <w:t>单位经办人（签字）：</w:t>
      </w:r>
    </w:p>
    <w:p>
      <w:pPr>
        <w:snapToGrid w:val="0"/>
        <w:spacing w:line="460" w:lineRule="exact"/>
        <w:ind w:firstLine="400" w:firstLineChars="200"/>
        <w:jc w:val="left"/>
        <w:rPr>
          <w:rFonts w:ascii="宋体" w:hAnsi="宋体" w:cs="宋体"/>
          <w:color w:val="000000"/>
          <w:kern w:val="0"/>
          <w:sz w:val="20"/>
          <w:szCs w:val="28"/>
        </w:rPr>
      </w:pPr>
      <w:r>
        <w:rPr>
          <w:rFonts w:hint="eastAsia" w:ascii="宋体" w:hAnsi="宋体" w:cs="宋体"/>
          <w:color w:val="000000"/>
          <w:kern w:val="0"/>
          <w:sz w:val="20"/>
          <w:szCs w:val="28"/>
        </w:rPr>
        <w:t>日期：     年   月   日</w:t>
      </w:r>
    </w:p>
    <w:p>
      <w:pPr>
        <w:snapToGrid w:val="0"/>
        <w:spacing w:line="460" w:lineRule="exact"/>
        <w:ind w:firstLine="400" w:firstLineChars="200"/>
        <w:jc w:val="left"/>
        <w:rPr>
          <w:rFonts w:ascii="宋体" w:hAnsi="宋体" w:cs="宋体"/>
          <w:color w:val="000000"/>
          <w:kern w:val="0"/>
          <w:sz w:val="20"/>
          <w:szCs w:val="28"/>
        </w:rPr>
      </w:pPr>
    </w:p>
    <w:p>
      <w:pPr>
        <w:snapToGrid w:val="0"/>
        <w:spacing w:line="460" w:lineRule="exact"/>
        <w:ind w:firstLine="400" w:firstLineChars="200"/>
        <w:jc w:val="left"/>
        <w:rPr>
          <w:rFonts w:ascii="宋体" w:hAnsi="宋体" w:cs="宋体"/>
          <w:color w:val="000000"/>
          <w:kern w:val="0"/>
          <w:sz w:val="20"/>
          <w:szCs w:val="28"/>
        </w:rPr>
      </w:pPr>
      <w:r>
        <w:rPr>
          <w:rFonts w:hint="eastAsia" w:ascii="宋体" w:hAnsi="宋体" w:cs="宋体"/>
          <w:color w:val="000000"/>
          <w:kern w:val="0"/>
          <w:sz w:val="20"/>
          <w:szCs w:val="28"/>
        </w:rPr>
        <w:t>乙方（业务专用章）：</w:t>
      </w:r>
    </w:p>
    <w:p>
      <w:pPr>
        <w:snapToGrid w:val="0"/>
        <w:spacing w:line="460" w:lineRule="exact"/>
        <w:ind w:firstLine="400" w:firstLineChars="200"/>
        <w:jc w:val="left"/>
        <w:rPr>
          <w:rFonts w:ascii="宋体" w:hAnsi="宋体" w:cs="宋体"/>
          <w:color w:val="000000"/>
          <w:kern w:val="0"/>
          <w:sz w:val="20"/>
          <w:szCs w:val="28"/>
        </w:rPr>
      </w:pPr>
      <w:r>
        <w:rPr>
          <w:rFonts w:hint="eastAsia" w:ascii="宋体" w:hAnsi="宋体" w:cs="宋体"/>
          <w:color w:val="000000"/>
          <w:kern w:val="0"/>
          <w:sz w:val="20"/>
          <w:szCs w:val="28"/>
        </w:rPr>
        <w:t>经办柜员（签字）：</w:t>
      </w:r>
    </w:p>
    <w:p>
      <w:pPr>
        <w:snapToGrid w:val="0"/>
        <w:spacing w:line="460" w:lineRule="exact"/>
        <w:ind w:firstLine="400" w:firstLineChars="200"/>
        <w:jc w:val="left"/>
        <w:rPr>
          <w:rFonts w:ascii="宋体" w:hAnsi="宋体" w:cs="宋体"/>
          <w:color w:val="000000"/>
          <w:kern w:val="0"/>
          <w:sz w:val="20"/>
          <w:szCs w:val="28"/>
        </w:rPr>
      </w:pPr>
      <w:r>
        <w:rPr>
          <w:rFonts w:hint="eastAsia" w:ascii="宋体" w:hAnsi="宋体" w:cs="宋体"/>
          <w:color w:val="000000"/>
          <w:kern w:val="0"/>
          <w:sz w:val="20"/>
          <w:szCs w:val="28"/>
        </w:rPr>
        <w:t>日期：     年   月   日</w:t>
      </w:r>
    </w:p>
    <w:sectPr>
      <w:type w:val="continuous"/>
      <w:pgSz w:w="11906" w:h="16838"/>
      <w:pgMar w:top="1440" w:right="1531" w:bottom="1440" w:left="1531" w:header="851" w:footer="992" w:gutter="0"/>
      <w:cols w:space="720"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6FA"/>
    <w:multiLevelType w:val="multilevel"/>
    <w:tmpl w:val="02B036FA"/>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14941"/>
    <w:rsid w:val="00004ED9"/>
    <w:rsid w:val="000066B2"/>
    <w:rsid w:val="00011EB2"/>
    <w:rsid w:val="000B0BDF"/>
    <w:rsid w:val="00162521"/>
    <w:rsid w:val="00283E90"/>
    <w:rsid w:val="00286CAE"/>
    <w:rsid w:val="002A236A"/>
    <w:rsid w:val="002B5361"/>
    <w:rsid w:val="002B66DA"/>
    <w:rsid w:val="0031200A"/>
    <w:rsid w:val="00316FFD"/>
    <w:rsid w:val="00331809"/>
    <w:rsid w:val="003907EC"/>
    <w:rsid w:val="003C14F9"/>
    <w:rsid w:val="00435715"/>
    <w:rsid w:val="00441BBE"/>
    <w:rsid w:val="00443223"/>
    <w:rsid w:val="004B2707"/>
    <w:rsid w:val="004C43F5"/>
    <w:rsid w:val="00525493"/>
    <w:rsid w:val="00594243"/>
    <w:rsid w:val="006162A0"/>
    <w:rsid w:val="0063413C"/>
    <w:rsid w:val="0067213F"/>
    <w:rsid w:val="006C32D6"/>
    <w:rsid w:val="006D2D0F"/>
    <w:rsid w:val="00737246"/>
    <w:rsid w:val="00762F7F"/>
    <w:rsid w:val="007821C9"/>
    <w:rsid w:val="007A5937"/>
    <w:rsid w:val="008860FF"/>
    <w:rsid w:val="00886F0D"/>
    <w:rsid w:val="008D3387"/>
    <w:rsid w:val="00937CF8"/>
    <w:rsid w:val="00943BD7"/>
    <w:rsid w:val="0097608F"/>
    <w:rsid w:val="009855EA"/>
    <w:rsid w:val="009867FB"/>
    <w:rsid w:val="0099089D"/>
    <w:rsid w:val="009B04E9"/>
    <w:rsid w:val="009D06F1"/>
    <w:rsid w:val="009E479A"/>
    <w:rsid w:val="009F09F1"/>
    <w:rsid w:val="00A67D4D"/>
    <w:rsid w:val="00AD573B"/>
    <w:rsid w:val="00B57E9B"/>
    <w:rsid w:val="00BA631E"/>
    <w:rsid w:val="00BA678F"/>
    <w:rsid w:val="00C4112B"/>
    <w:rsid w:val="00C97293"/>
    <w:rsid w:val="00CC16F3"/>
    <w:rsid w:val="00CC33B1"/>
    <w:rsid w:val="00D46B2F"/>
    <w:rsid w:val="00DA3589"/>
    <w:rsid w:val="00DB73E1"/>
    <w:rsid w:val="00DE0A37"/>
    <w:rsid w:val="00E24F3A"/>
    <w:rsid w:val="00F04F01"/>
    <w:rsid w:val="00FC6708"/>
    <w:rsid w:val="00FD0A22"/>
    <w:rsid w:val="00FF09E4"/>
    <w:rsid w:val="0A72110E"/>
    <w:rsid w:val="0DE20A28"/>
    <w:rsid w:val="1C814941"/>
    <w:rsid w:val="225E51B1"/>
    <w:rsid w:val="5C312A90"/>
    <w:rsid w:val="60637803"/>
    <w:rsid w:val="6EE65D5C"/>
    <w:rsid w:val="77E77384"/>
    <w:rsid w:val="7BD758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0"/>
    <w:pPr>
      <w:spacing w:before="240" w:after="60" w:line="312" w:lineRule="auto"/>
      <w:jc w:val="center"/>
      <w:outlineLvl w:val="1"/>
    </w:pPr>
    <w:rPr>
      <w:rFonts w:asciiTheme="majorHAnsi" w:hAnsiTheme="majorHAnsi" w:cstheme="majorBidi"/>
      <w:b/>
      <w:bCs/>
      <w:kern w:val="28"/>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00080" w:themeColor="followedHyperlink"/>
      <w:u w:val="single"/>
      <w14:textFill>
        <w14:solidFill>
          <w14:schemeClr w14:val="folHlink"/>
        </w14:solidFill>
      </w14:textFill>
    </w:rPr>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1">
    <w:name w:val="页眉 Char"/>
    <w:link w:val="4"/>
    <w:qFormat/>
    <w:uiPriority w:val="0"/>
    <w:rPr>
      <w:kern w:val="2"/>
      <w:sz w:val="18"/>
      <w:szCs w:val="18"/>
    </w:rPr>
  </w:style>
  <w:style w:type="character" w:customStyle="1" w:styleId="12">
    <w:name w:val="页脚 Char"/>
    <w:link w:val="3"/>
    <w:qFormat/>
    <w:uiPriority w:val="0"/>
    <w:rPr>
      <w:kern w:val="2"/>
      <w:sz w:val="18"/>
      <w:szCs w:val="18"/>
    </w:rPr>
  </w:style>
  <w:style w:type="character" w:customStyle="1" w:styleId="13">
    <w:name w:val="副标题 Char"/>
    <w:basedOn w:val="8"/>
    <w:link w:val="5"/>
    <w:qFormat/>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F7D1E-A080-4951-8A9C-E93C9754FC5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345</Words>
  <Characters>1968</Characters>
  <Lines>16</Lines>
  <Paragraphs>4</Paragraphs>
  <TotalTime>48</TotalTime>
  <ScaleCrop>false</ScaleCrop>
  <LinksUpToDate>false</LinksUpToDate>
  <CharactersWithSpaces>2309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2018-05-02T08:46:00Z</dcterms:created>
  <dc:creator>Administrator</dc:creator>
  <cp:lastModifiedBy>糖宝</cp:lastModifiedBy>
  <cp:lastPrinted>2018-05-29T09:39:00Z</cp:lastPrinted>
  <dcterms:modified xsi:type="dcterms:W3CDTF">2020-01-03T03:04:47Z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